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40"/>
        </w:tabs>
        <w:spacing w:line="420" w:lineRule="auto"/>
        <w:jc w:val="center"/>
        <w:rPr>
          <w:rFonts w:hint="eastAsia" w:asciiTheme="majorEastAsia" w:hAnsiTheme="majorEastAsia" w:eastAsiaTheme="majorEastAsia"/>
          <w:b/>
          <w:kern w:val="0"/>
          <w:sz w:val="44"/>
          <w:szCs w:val="44"/>
        </w:rPr>
      </w:pPr>
      <w:r>
        <w:rPr>
          <w:rFonts w:hint="eastAsia" w:asciiTheme="majorEastAsia" w:hAnsiTheme="majorEastAsia" w:eastAsiaTheme="majorEastAsia"/>
          <w:b/>
          <w:kern w:val="0"/>
          <w:sz w:val="44"/>
          <w:szCs w:val="44"/>
        </w:rPr>
        <w:t>公共管理学院</w:t>
      </w:r>
    </w:p>
    <w:p>
      <w:pPr>
        <w:tabs>
          <w:tab w:val="left" w:pos="540"/>
        </w:tabs>
        <w:spacing w:line="420" w:lineRule="auto"/>
        <w:jc w:val="center"/>
        <w:rPr>
          <w:rFonts w:hint="eastAsia" w:asciiTheme="majorEastAsia" w:hAnsiTheme="majorEastAsia" w:eastAsiaTheme="majorEastAsia"/>
          <w:b/>
          <w:kern w:val="0"/>
          <w:sz w:val="44"/>
          <w:szCs w:val="44"/>
        </w:rPr>
      </w:pPr>
      <w:r>
        <w:rPr>
          <w:rFonts w:hint="eastAsia" w:asciiTheme="majorEastAsia" w:hAnsiTheme="majorEastAsia" w:eastAsiaTheme="majorEastAsia"/>
          <w:b/>
          <w:kern w:val="0"/>
          <w:sz w:val="44"/>
          <w:szCs w:val="44"/>
        </w:rPr>
        <w:t>岗位设置与聘用管理实施办法</w:t>
      </w:r>
    </w:p>
    <w:p>
      <w:pPr>
        <w:tabs>
          <w:tab w:val="left" w:pos="540"/>
        </w:tabs>
        <w:spacing w:line="420" w:lineRule="auto"/>
        <w:jc w:val="center"/>
        <w:rPr>
          <w:rFonts w:hint="eastAsia" w:asciiTheme="majorEastAsia" w:hAnsiTheme="majorEastAsia" w:eastAsiaTheme="majorEastAsia"/>
          <w:b/>
          <w:kern w:val="0"/>
          <w:sz w:val="44"/>
          <w:szCs w:val="44"/>
          <w:lang w:val="en-US" w:eastAsia="zh-CN"/>
        </w:rPr>
      </w:pPr>
      <w:r>
        <w:rPr>
          <w:rFonts w:hint="eastAsia" w:asciiTheme="majorEastAsia" w:hAnsiTheme="majorEastAsia" w:eastAsiaTheme="majorEastAsia"/>
          <w:b/>
          <w:kern w:val="0"/>
          <w:sz w:val="44"/>
          <w:szCs w:val="44"/>
          <w:lang w:val="en-US" w:eastAsia="zh-CN"/>
        </w:rPr>
        <w:t>（</w:t>
      </w:r>
      <w:bookmarkStart w:id="0" w:name="_GoBack"/>
      <w:bookmarkEnd w:id="0"/>
      <w:r>
        <w:rPr>
          <w:rFonts w:hint="eastAsia" w:asciiTheme="majorEastAsia" w:hAnsiTheme="majorEastAsia" w:eastAsiaTheme="majorEastAsia"/>
          <w:b/>
          <w:kern w:val="0"/>
          <w:sz w:val="44"/>
          <w:szCs w:val="44"/>
          <w:lang w:val="en-US" w:eastAsia="zh-CN"/>
        </w:rPr>
        <w:t>定稿）</w:t>
      </w:r>
    </w:p>
    <w:p>
      <w:pPr>
        <w:tabs>
          <w:tab w:val="left" w:pos="540"/>
        </w:tabs>
        <w:spacing w:line="420" w:lineRule="auto"/>
        <w:jc w:val="center"/>
        <w:rPr>
          <w:rFonts w:hint="default" w:asciiTheme="majorEastAsia" w:hAnsiTheme="majorEastAsia" w:eastAsiaTheme="majorEastAsia"/>
          <w:b/>
          <w:kern w:val="0"/>
          <w:sz w:val="44"/>
          <w:szCs w:val="44"/>
          <w:lang w:val="en-US" w:eastAsia="zh-CN"/>
        </w:rPr>
      </w:pPr>
    </w:p>
    <w:p>
      <w:pPr>
        <w:keepNext w:val="0"/>
        <w:keepLines w:val="0"/>
        <w:pageBreakBefore w:val="0"/>
        <w:widowControl w:val="0"/>
        <w:tabs>
          <w:tab w:val="left" w:pos="540"/>
        </w:tabs>
        <w:kinsoku/>
        <w:wordWrap/>
        <w:overflowPunct/>
        <w:topLinePunct w:val="0"/>
        <w:autoSpaceDE/>
        <w:autoSpaceDN/>
        <w:bidi w:val="0"/>
        <w:adjustRightInd/>
        <w:snapToGrid/>
        <w:spacing w:line="420" w:lineRule="auto"/>
        <w:ind w:firstLine="640" w:firstLineChars="200"/>
        <w:jc w:val="both"/>
        <w:textAlignment w:val="auto"/>
        <w:rPr>
          <w:rFonts w:ascii="仿宋" w:hAnsi="仿宋" w:eastAsia="仿宋"/>
          <w:kern w:val="0"/>
          <w:sz w:val="32"/>
          <w:szCs w:val="32"/>
        </w:rPr>
      </w:pPr>
      <w:r>
        <w:rPr>
          <w:rFonts w:hint="eastAsia" w:ascii="仿宋_GB2312" w:hAnsi="宋体" w:eastAsia="仿宋_GB2312" w:cstheme="majorBidi"/>
          <w:b w:val="0"/>
          <w:bCs/>
          <w:kern w:val="0"/>
          <w:sz w:val="32"/>
          <w:szCs w:val="32"/>
          <w:lang w:val="en-US" w:eastAsia="zh-CN" w:bidi="ar-SA"/>
        </w:rPr>
        <w:t>根据学校《关于制定岗位设置与聘用管理实施办法的通知》精神，为加强师资队伍建设，做好学院专业技术岗位的设置、聘用和管理工作，依据《华南农业大学岗位设置与聘用管理办法》（华南农办[2019]84号）、《华南农业大学教师岗位设置与聘用管理实施办法》（华南农办[2019]85号）《华南农业大学专职辅导员聘用教师岗位实施细则》（华南农办[2019]86号）、《华南农业大学其他专业技术岗位设置及聘用管理实施办法》（华南农办[2019]87号）和《华南农业大学管理岗位设置与聘用管理实施办法》（华南农办[2019]88号）等相关文件规定，结合公共管理学院的实际情况，特制定本办法。</w:t>
      </w:r>
    </w:p>
    <w:p>
      <w:pPr>
        <w:pStyle w:val="24"/>
        <w:keepNext w:val="0"/>
        <w:keepLines w:val="0"/>
        <w:numPr>
          <w:ilvl w:val="0"/>
          <w:numId w:val="2"/>
        </w:numPr>
        <w:spacing w:before="312" w:after="312" w:line="560" w:lineRule="exact"/>
        <w:rPr>
          <w:rFonts w:hAnsi="仿宋"/>
        </w:rPr>
      </w:pPr>
      <w:r>
        <w:rPr>
          <w:rFonts w:hint="eastAsia" w:hAnsi="仿宋"/>
        </w:rPr>
        <w:t>总  则</w:t>
      </w:r>
    </w:p>
    <w:p>
      <w:pPr>
        <w:pStyle w:val="27"/>
        <w:keepNext w:val="0"/>
        <w:keepLines w:val="0"/>
        <w:widowControl w:val="0"/>
        <w:numPr>
          <w:ilvl w:val="0"/>
          <w:numId w:val="3"/>
        </w:numPr>
        <w:ind w:left="0" w:firstLine="640"/>
      </w:pPr>
      <w:r>
        <w:rPr>
          <w:rFonts w:hint="eastAsia"/>
        </w:rPr>
        <w:t xml:space="preserve">  </w:t>
      </w:r>
      <w:r>
        <w:t>为加强学校师资队伍建设，做好教师岗位的设置、聘用和管理工作，根据</w:t>
      </w:r>
      <w:r>
        <w:rPr>
          <w:rFonts w:hint="eastAsia" w:ascii="仿宋_GB2312" w:hAnsi="宋体" w:eastAsia="仿宋_GB2312" w:cstheme="majorBidi"/>
          <w:b w:val="0"/>
          <w:bCs/>
          <w:kern w:val="0"/>
          <w:sz w:val="32"/>
          <w:szCs w:val="32"/>
          <w:lang w:val="en-US" w:eastAsia="zh-CN" w:bidi="ar-SA"/>
        </w:rPr>
        <w:t>《华南农业大学岗位设置与聘用管理办法》（华南农办[2019]84号）</w:t>
      </w:r>
      <w:r>
        <w:rPr>
          <w:rFonts w:hint="eastAsia" w:cstheme="majorBidi"/>
          <w:b w:val="0"/>
          <w:bCs/>
          <w:kern w:val="0"/>
          <w:sz w:val="32"/>
          <w:szCs w:val="32"/>
          <w:lang w:val="en-US" w:eastAsia="zh-CN" w:bidi="ar-SA"/>
        </w:rPr>
        <w:t>、</w:t>
      </w:r>
      <w:r>
        <w:rPr>
          <w:rFonts w:hint="eastAsia" w:ascii="仿宋_GB2312" w:hAnsi="宋体" w:eastAsia="仿宋_GB2312" w:cstheme="majorBidi"/>
          <w:b w:val="0"/>
          <w:bCs/>
          <w:kern w:val="0"/>
          <w:sz w:val="32"/>
          <w:szCs w:val="32"/>
          <w:lang w:val="en-US" w:eastAsia="zh-CN" w:bidi="ar-SA"/>
        </w:rPr>
        <w:t>《华南农业大学教师岗位设置与聘用管理实施办法》（华南农办[2019]85号）</w:t>
      </w:r>
      <w:r>
        <w:rPr>
          <w:rFonts w:hint="eastAsia" w:cstheme="majorBidi"/>
          <w:b w:val="0"/>
          <w:bCs/>
          <w:kern w:val="0"/>
          <w:sz w:val="32"/>
          <w:szCs w:val="32"/>
          <w:lang w:val="en-US" w:eastAsia="zh-CN" w:bidi="ar-SA"/>
        </w:rPr>
        <w:t>等</w:t>
      </w:r>
      <w:r>
        <w:rPr>
          <w:rFonts w:hint="eastAsia"/>
        </w:rPr>
        <w:t>，特制定本办法。</w:t>
      </w:r>
    </w:p>
    <w:p>
      <w:pPr>
        <w:pStyle w:val="27"/>
        <w:keepNext w:val="0"/>
        <w:keepLines w:val="0"/>
        <w:widowControl w:val="0"/>
        <w:numPr>
          <w:ilvl w:val="0"/>
          <w:numId w:val="3"/>
        </w:numPr>
        <w:ind w:left="0" w:firstLine="640"/>
      </w:pPr>
      <w:r>
        <w:rPr>
          <w:rFonts w:hint="eastAsia"/>
        </w:rPr>
        <w:t xml:space="preserve">  岗位设置的原则。按照学校事业发展的总体目标，根据学科、专业、课程和教师队伍建设及人才培养的需要，科学合理地设置教师岗位。教师岗位设置除遵循学校岗位设置管理的基本原则外还必须遵循以下原则：</w:t>
      </w:r>
    </w:p>
    <w:p>
      <w:pPr>
        <w:tabs>
          <w:tab w:val="left" w:pos="540"/>
        </w:tabs>
        <w:spacing w:line="540" w:lineRule="exact"/>
        <w:ind w:firstLine="640" w:firstLineChars="200"/>
        <w:rPr>
          <w:rFonts w:eastAsia="仿宋_GB2312"/>
          <w:kern w:val="0"/>
          <w:sz w:val="32"/>
          <w:szCs w:val="32"/>
        </w:rPr>
      </w:pPr>
      <w:r>
        <w:rPr>
          <w:rFonts w:hint="eastAsia" w:eastAsia="仿宋_GB2312"/>
          <w:kern w:val="0"/>
          <w:sz w:val="32"/>
          <w:szCs w:val="32"/>
        </w:rPr>
        <w:t>（一）总量和结构比例控制。在省人力资源和社会保障厅、省教育厅核定的教师岗位总量内，按照国家有关文件精神，结合学校实际，科学合理地确定各级岗位数量和结构比例。</w:t>
      </w:r>
    </w:p>
    <w:p>
      <w:pPr>
        <w:tabs>
          <w:tab w:val="left" w:pos="540"/>
        </w:tabs>
        <w:spacing w:line="540" w:lineRule="exact"/>
        <w:ind w:firstLine="640" w:firstLineChars="200"/>
        <w:rPr>
          <w:rFonts w:eastAsia="仿宋_GB2312"/>
          <w:kern w:val="0"/>
          <w:sz w:val="32"/>
          <w:szCs w:val="32"/>
        </w:rPr>
      </w:pPr>
      <w:r>
        <w:rPr>
          <w:rFonts w:hint="eastAsia" w:eastAsia="仿宋_GB2312"/>
          <w:kern w:val="0"/>
          <w:sz w:val="32"/>
          <w:szCs w:val="32"/>
        </w:rPr>
        <w:t>（二）按需设岗，优化结构。根据学校教学科研工作发展的客观需要，科学合理地设置各级教师岗位，建设结构合理的教师队伍，充分调动各级教师岗位人员的积极性、主动性和创造性。</w:t>
      </w:r>
    </w:p>
    <w:p>
      <w:pPr>
        <w:tabs>
          <w:tab w:val="left" w:pos="540"/>
        </w:tabs>
        <w:spacing w:line="540" w:lineRule="exact"/>
        <w:ind w:firstLine="640" w:firstLineChars="200"/>
        <w:rPr>
          <w:rFonts w:eastAsia="仿宋_GB2312"/>
          <w:kern w:val="0"/>
          <w:sz w:val="32"/>
          <w:szCs w:val="32"/>
        </w:rPr>
      </w:pPr>
      <w:r>
        <w:rPr>
          <w:rFonts w:hint="eastAsia" w:eastAsia="仿宋_GB2312"/>
          <w:kern w:val="0"/>
          <w:sz w:val="32"/>
          <w:szCs w:val="32"/>
        </w:rPr>
        <w:t>（三）教学、科研和学科建设相结合。以人才培养为中心，根据学科发展需要，并结合教学、科研、社会服务等任务确定教师岗位设置标准、方案和岗位职责，使各类岗位职责、任务及目标密切相关，以保证学科建设的需要和教学科研的正常进行。</w:t>
      </w:r>
    </w:p>
    <w:p>
      <w:pPr>
        <w:tabs>
          <w:tab w:val="left" w:pos="540"/>
        </w:tabs>
        <w:spacing w:line="540" w:lineRule="exact"/>
        <w:ind w:firstLine="640" w:firstLineChars="200"/>
        <w:rPr>
          <w:rFonts w:eastAsia="仿宋_GB2312"/>
          <w:kern w:val="0"/>
          <w:sz w:val="32"/>
          <w:szCs w:val="32"/>
        </w:rPr>
      </w:pPr>
      <w:r>
        <w:rPr>
          <w:rFonts w:hint="eastAsia" w:eastAsia="仿宋_GB2312"/>
          <w:kern w:val="0"/>
          <w:sz w:val="32"/>
          <w:szCs w:val="32"/>
        </w:rPr>
        <w:t>（四）个人发展与团队建设相结合。提倡和鼓励教师个人目标和团队建设目标结合起来，建立和完善既激励个人奋发进取，又提升整体学术水平的体制和机制。教师岗位设置要建立以业绩为导向、有利于优秀人才脱颖而出的竞争激励机制，适当兼顾资历和历史贡献。</w:t>
      </w:r>
    </w:p>
    <w:p>
      <w:pPr>
        <w:pStyle w:val="24"/>
        <w:keepNext w:val="0"/>
        <w:keepLines w:val="0"/>
        <w:numPr>
          <w:ilvl w:val="0"/>
          <w:numId w:val="2"/>
        </w:numPr>
        <w:spacing w:before="312" w:after="312" w:line="560" w:lineRule="exact"/>
        <w:rPr>
          <w:rFonts w:hAnsi="仿宋"/>
        </w:rPr>
      </w:pPr>
      <w:r>
        <w:rPr>
          <w:rFonts w:hint="eastAsia" w:hAnsi="仿宋"/>
        </w:rPr>
        <w:t>岗位设置</w:t>
      </w:r>
    </w:p>
    <w:p>
      <w:pPr>
        <w:pStyle w:val="27"/>
        <w:keepNext w:val="0"/>
        <w:keepLines w:val="0"/>
        <w:widowControl w:val="0"/>
        <w:numPr>
          <w:ilvl w:val="0"/>
          <w:numId w:val="3"/>
        </w:numPr>
        <w:ind w:left="0" w:firstLine="640"/>
        <w:rPr>
          <w:spacing w:val="-4"/>
        </w:rPr>
      </w:pPr>
      <w:r>
        <w:rPr>
          <w:rFonts w:hint="eastAsia"/>
        </w:rPr>
        <w:t xml:space="preserve">  岗位类别。教师岗位是指具有教学、科学研究工作职责和相应能力水平要求的专业技术岗位。根据教师在教学、科研和技术推广等方面所侧重承担的主要职责，可分为教学型岗位、教学科研型岗位、科研型岗位（含教育管理系列）和科技推广型岗位。其他</w:t>
      </w:r>
      <w:r>
        <w:rPr>
          <w:rFonts w:hint="eastAsia"/>
          <w:lang w:val="en-US" w:eastAsia="zh-CN"/>
        </w:rPr>
        <w:t>岗位是指学院中除教师外的学校文件规定的“管理岗位”、“其他</w:t>
      </w:r>
      <w:r>
        <w:rPr>
          <w:rFonts w:hint="eastAsia"/>
        </w:rPr>
        <w:t>专业技术岗位</w:t>
      </w:r>
      <w:r>
        <w:rPr>
          <w:rFonts w:hint="eastAsia"/>
          <w:lang w:eastAsia="zh-CN"/>
        </w:rPr>
        <w:t>”</w:t>
      </w:r>
      <w:r>
        <w:rPr>
          <w:rFonts w:hint="eastAsia"/>
          <w:lang w:val="en-US" w:eastAsia="zh-CN"/>
        </w:rPr>
        <w:t>、“</w:t>
      </w:r>
      <w:r>
        <w:rPr>
          <w:rFonts w:hint="eastAsia"/>
        </w:rPr>
        <w:t>专职辅导员聘用教师岗位</w:t>
      </w:r>
      <w:r>
        <w:rPr>
          <w:rFonts w:hint="eastAsia"/>
          <w:lang w:eastAsia="zh-CN"/>
        </w:rPr>
        <w:t>”</w:t>
      </w:r>
      <w:r>
        <w:rPr>
          <w:rFonts w:hint="eastAsia"/>
          <w:lang w:val="en-US" w:eastAsia="zh-CN"/>
        </w:rPr>
        <w:t>和“工勤技能岗位”等，其他岗位的设置与聘用管理适用学校相关文件。</w:t>
      </w:r>
    </w:p>
    <w:p>
      <w:pPr>
        <w:pStyle w:val="27"/>
        <w:keepNext w:val="0"/>
        <w:keepLines w:val="0"/>
        <w:widowControl w:val="0"/>
        <w:numPr>
          <w:ilvl w:val="0"/>
          <w:numId w:val="3"/>
        </w:numPr>
        <w:ind w:left="0" w:firstLine="643"/>
        <w:rPr>
          <w:spacing w:val="-4"/>
        </w:rPr>
      </w:pPr>
      <w:r>
        <w:rPr>
          <w:rFonts w:hint="eastAsia"/>
          <w:b/>
        </w:rPr>
        <w:t xml:space="preserve">  </w:t>
      </w:r>
      <w:r>
        <w:rPr>
          <w:rFonts w:hint="eastAsia"/>
          <w:spacing w:val="-4"/>
        </w:rPr>
        <w:t>岗位等级。教师岗位分为十三个等级，包括正高级岗位、副高级岗位、中级岗位和初级岗位。其中正高级岗位分</w:t>
      </w:r>
      <w:r>
        <w:rPr>
          <w:rFonts w:ascii="Times New Roman" w:hAnsi="Times New Roman" w:cs="Times New Roman"/>
          <w:spacing w:val="-4"/>
        </w:rPr>
        <w:t>4</w:t>
      </w:r>
      <w:r>
        <w:rPr>
          <w:rFonts w:hint="eastAsia"/>
          <w:spacing w:val="-4"/>
        </w:rPr>
        <w:t>个等级，分别对应国家事业单位专业技术岗位的一至四级；副高级岗位分</w:t>
      </w:r>
      <w:r>
        <w:rPr>
          <w:rFonts w:hint="eastAsia" w:ascii="Times New Roman" w:hAnsi="Times New Roman" w:cs="Times New Roman"/>
          <w:spacing w:val="-4"/>
        </w:rPr>
        <w:t>3</w:t>
      </w:r>
      <w:r>
        <w:rPr>
          <w:rFonts w:hint="eastAsia"/>
          <w:spacing w:val="-4"/>
        </w:rPr>
        <w:t>个等级，分别对应国家事业单位专业技术岗位的五至七级；中级岗位分</w:t>
      </w:r>
      <w:r>
        <w:rPr>
          <w:rFonts w:hint="eastAsia" w:ascii="Times New Roman" w:hAnsi="Times New Roman" w:cs="Times New Roman"/>
          <w:spacing w:val="-4"/>
        </w:rPr>
        <w:t>3</w:t>
      </w:r>
      <w:r>
        <w:rPr>
          <w:rFonts w:hint="eastAsia"/>
          <w:spacing w:val="-4"/>
        </w:rPr>
        <w:t>个等级，分别对应国家事业单位专业技术岗位的八至十级；初级岗位分</w:t>
      </w:r>
      <w:r>
        <w:rPr>
          <w:rFonts w:hint="eastAsia" w:ascii="Times New Roman" w:hAnsi="Times New Roman" w:cs="Times New Roman"/>
          <w:spacing w:val="-4"/>
        </w:rPr>
        <w:t>3</w:t>
      </w:r>
      <w:r>
        <w:rPr>
          <w:rFonts w:hint="eastAsia"/>
          <w:spacing w:val="-4"/>
        </w:rPr>
        <w:t>个等级，分别对应国家事业单位专业技术岗位的十一至十三级。其他专业技术岗位正高级岗位</w:t>
      </w:r>
      <w:r>
        <w:rPr>
          <w:rFonts w:hint="eastAsia"/>
          <w:spacing w:val="-4"/>
          <w:lang w:eastAsia="zh-CN"/>
        </w:rPr>
        <w:t>（</w:t>
      </w:r>
      <w:r>
        <w:rPr>
          <w:rFonts w:hint="eastAsia"/>
          <w:spacing w:val="-4"/>
          <w:lang w:val="en-US" w:eastAsia="zh-CN"/>
        </w:rPr>
        <w:t>四级）</w:t>
      </w:r>
      <w:r>
        <w:rPr>
          <w:rFonts w:hint="eastAsia"/>
          <w:spacing w:val="-4"/>
        </w:rPr>
        <w:t>、副高级岗位</w:t>
      </w:r>
      <w:r>
        <w:rPr>
          <w:rFonts w:hint="eastAsia"/>
          <w:spacing w:val="-4"/>
          <w:lang w:eastAsia="zh-CN"/>
        </w:rPr>
        <w:t>（</w:t>
      </w:r>
      <w:r>
        <w:rPr>
          <w:rFonts w:hint="eastAsia"/>
          <w:spacing w:val="-4"/>
          <w:lang w:val="en-US" w:eastAsia="zh-CN"/>
        </w:rPr>
        <w:t>三级）</w:t>
      </w:r>
      <w:r>
        <w:rPr>
          <w:rFonts w:hint="eastAsia"/>
          <w:spacing w:val="-4"/>
        </w:rPr>
        <w:t>、中级岗位</w:t>
      </w:r>
      <w:r>
        <w:rPr>
          <w:rFonts w:hint="eastAsia"/>
          <w:spacing w:val="-4"/>
          <w:lang w:eastAsia="zh-CN"/>
        </w:rPr>
        <w:t>（</w:t>
      </w:r>
      <w:r>
        <w:rPr>
          <w:rFonts w:hint="eastAsia"/>
          <w:spacing w:val="-4"/>
          <w:lang w:val="en-US" w:eastAsia="zh-CN"/>
        </w:rPr>
        <w:t>三级）</w:t>
      </w:r>
      <w:r>
        <w:rPr>
          <w:rFonts w:hint="eastAsia"/>
          <w:spacing w:val="-4"/>
        </w:rPr>
        <w:t>和初级岗位</w:t>
      </w:r>
      <w:r>
        <w:rPr>
          <w:rFonts w:hint="eastAsia"/>
          <w:spacing w:val="-4"/>
          <w:lang w:eastAsia="zh-CN"/>
        </w:rPr>
        <w:t>（</w:t>
      </w:r>
      <w:r>
        <w:rPr>
          <w:rFonts w:hint="eastAsia"/>
          <w:spacing w:val="-4"/>
          <w:lang w:val="en-US" w:eastAsia="zh-CN"/>
        </w:rPr>
        <w:t>三级）相对应</w:t>
      </w:r>
      <w:r>
        <w:rPr>
          <w:rFonts w:hint="eastAsia"/>
          <w:spacing w:val="-4"/>
        </w:rPr>
        <w:t>国家事业单位专业技术岗位的一至十三级。</w:t>
      </w:r>
    </w:p>
    <w:p>
      <w:pPr>
        <w:pStyle w:val="27"/>
        <w:keepNext w:val="0"/>
        <w:keepLines w:val="0"/>
        <w:widowControl w:val="0"/>
        <w:numPr>
          <w:ilvl w:val="0"/>
          <w:numId w:val="3"/>
        </w:numPr>
        <w:ind w:left="0" w:firstLine="640"/>
      </w:pPr>
      <w:r>
        <w:rPr>
          <w:rFonts w:hint="eastAsia"/>
        </w:rPr>
        <w:t xml:space="preserve">  岗位总量。根据省人力资源和社会保障厅、省教育厅核准的教师岗位比例，以及学校教学科研工作需要，全校教师岗位总量按不低于全校岗位总量的</w:t>
      </w:r>
      <w:r>
        <w:rPr>
          <w:rFonts w:hint="eastAsia" w:ascii="Times New Roman" w:hAnsi="Times New Roman" w:cs="Times New Roman"/>
          <w:spacing w:val="-4"/>
        </w:rPr>
        <w:t>60％</w:t>
      </w:r>
      <w:r>
        <w:rPr>
          <w:rFonts w:hint="eastAsia"/>
        </w:rPr>
        <w:t>确定。</w:t>
      </w:r>
    </w:p>
    <w:p>
      <w:pPr>
        <w:pStyle w:val="27"/>
        <w:keepNext w:val="0"/>
        <w:keepLines w:val="0"/>
        <w:widowControl w:val="0"/>
        <w:numPr>
          <w:ilvl w:val="0"/>
          <w:numId w:val="3"/>
        </w:numPr>
        <w:ind w:left="0" w:firstLine="640"/>
        <w:rPr>
          <w:rFonts w:hint="eastAsia" w:ascii="仿宋_GB2312" w:hAnsi="宋体" w:eastAsia="仿宋_GB2312"/>
          <w:sz w:val="32"/>
          <w:szCs w:val="32"/>
        </w:rPr>
      </w:pPr>
      <w:r>
        <w:rPr>
          <w:rFonts w:hint="eastAsia"/>
        </w:rPr>
        <w:t xml:space="preserve">  岗位结构比例。教师岗位正高级、副高级、中级和初级专业技术岗位的结构比例为</w:t>
      </w:r>
      <w:r>
        <w:rPr>
          <w:rFonts w:hint="eastAsia" w:ascii="Times New Roman" w:hAnsi="Times New Roman" w:cs="Times New Roman"/>
          <w:spacing w:val="-4"/>
        </w:rPr>
        <w:t>2.4︰3.6︰3.8︰0.2</w:t>
      </w:r>
      <w:r>
        <w:rPr>
          <w:rFonts w:hint="eastAsia"/>
        </w:rPr>
        <w:t>。教师一级岗位由国家控制，二至四级岗位之间的结构比例控制目标为</w:t>
      </w:r>
      <w:r>
        <w:rPr>
          <w:rFonts w:hint="eastAsia" w:ascii="Times New Roman" w:hAnsi="Times New Roman" w:cs="Times New Roman"/>
          <w:spacing w:val="-4"/>
        </w:rPr>
        <w:t>1︰3︰6</w:t>
      </w:r>
      <w:r>
        <w:rPr>
          <w:rFonts w:hint="eastAsia"/>
        </w:rPr>
        <w:t>，副高级一至三级岗位之间的结构比例为</w:t>
      </w:r>
      <w:r>
        <w:rPr>
          <w:rFonts w:ascii="Times New Roman" w:hAnsi="Times New Roman" w:cs="Times New Roman"/>
        </w:rPr>
        <w:t>2</w:t>
      </w:r>
      <w:r>
        <w:rPr>
          <w:rFonts w:hint="eastAsia" w:ascii="宋体" w:eastAsia="宋体" w:cs="宋体"/>
        </w:rPr>
        <w:t>︰</w:t>
      </w:r>
      <w:r>
        <w:rPr>
          <w:rFonts w:ascii="Times New Roman" w:hAnsi="Times New Roman" w:cs="Times New Roman"/>
        </w:rPr>
        <w:t>4</w:t>
      </w:r>
      <w:r>
        <w:rPr>
          <w:rFonts w:hint="eastAsia" w:ascii="宋体" w:eastAsia="宋体" w:cs="宋体"/>
        </w:rPr>
        <w:t>︰</w:t>
      </w:r>
      <w:r>
        <w:rPr>
          <w:rFonts w:ascii="Times New Roman" w:hAnsi="Times New Roman" w:cs="Times New Roman"/>
        </w:rPr>
        <w:t>4</w:t>
      </w:r>
      <w:r>
        <w:rPr>
          <w:rFonts w:hint="eastAsia"/>
        </w:rPr>
        <w:t>，中级一至三级岗位之间的结构比例为</w:t>
      </w:r>
      <w:r>
        <w:rPr>
          <w:rFonts w:ascii="Times New Roman" w:hAnsi="Times New Roman" w:cs="Times New Roman"/>
        </w:rPr>
        <w:t>3</w:t>
      </w:r>
      <w:r>
        <w:rPr>
          <w:rFonts w:hint="eastAsia" w:ascii="宋体" w:eastAsia="宋体" w:cs="宋体"/>
        </w:rPr>
        <w:t>︰</w:t>
      </w:r>
      <w:r>
        <w:rPr>
          <w:rFonts w:ascii="Times New Roman" w:hAnsi="Times New Roman" w:cs="Times New Roman"/>
        </w:rPr>
        <w:t>4</w:t>
      </w:r>
      <w:r>
        <w:rPr>
          <w:rFonts w:hint="eastAsia" w:ascii="宋体" w:eastAsia="宋体" w:cs="宋体"/>
        </w:rPr>
        <w:t>︰</w:t>
      </w:r>
      <w:r>
        <w:rPr>
          <w:rFonts w:ascii="Times New Roman" w:hAnsi="Times New Roman" w:cs="Times New Roman"/>
        </w:rPr>
        <w:t>3</w:t>
      </w:r>
      <w:r>
        <w:rPr>
          <w:rFonts w:hint="eastAsia"/>
        </w:rPr>
        <w:t>，初级岗位之间的结构比例为</w:t>
      </w:r>
      <w:r>
        <w:rPr>
          <w:rFonts w:hint="eastAsia" w:ascii="Times New Roman" w:hAnsi="Times New Roman" w:cs="Times New Roman"/>
          <w:spacing w:val="-4"/>
        </w:rPr>
        <w:t>8︰</w:t>
      </w:r>
      <w:r>
        <w:rPr>
          <w:rFonts w:ascii="Times New Roman" w:hAnsi="Times New Roman" w:cs="Times New Roman"/>
          <w:spacing w:val="-4"/>
        </w:rPr>
        <w:t>1︰1</w:t>
      </w:r>
      <w:r>
        <w:rPr>
          <w:rFonts w:hint="eastAsia"/>
        </w:rPr>
        <w:t>。</w:t>
      </w:r>
      <w:r>
        <w:rPr>
          <w:rFonts w:hint="eastAsia" w:ascii="仿宋_GB2312" w:hAnsi="宋体" w:eastAsia="仿宋_GB2312"/>
          <w:sz w:val="32"/>
          <w:szCs w:val="32"/>
        </w:rPr>
        <w:t>具体岗位数如下表</w:t>
      </w:r>
      <w:r>
        <w:rPr>
          <w:rFonts w:eastAsia="仿宋_GB2312"/>
          <w:sz w:val="32"/>
          <w:szCs w:val="32"/>
        </w:rPr>
        <w:t>1</w:t>
      </w:r>
      <w:r>
        <w:rPr>
          <w:rFonts w:hint="eastAsia" w:ascii="仿宋_GB2312" w:hAnsi="宋体" w:eastAsia="仿宋_GB2312"/>
          <w:sz w:val="32"/>
          <w:szCs w:val="32"/>
        </w:rPr>
        <w:t>所示。</w:t>
      </w:r>
    </w:p>
    <w:p>
      <w:pPr>
        <w:tabs>
          <w:tab w:val="left" w:pos="490"/>
        </w:tabs>
        <w:spacing w:after="156" w:afterLines="50" w:line="520" w:lineRule="exact"/>
        <w:jc w:val="center"/>
        <w:rPr>
          <w:rFonts w:hint="eastAsia" w:ascii="仿宋_GB2312" w:hAnsi="宋体" w:eastAsia="仿宋_GB2312"/>
          <w:sz w:val="32"/>
          <w:szCs w:val="32"/>
        </w:rPr>
      </w:pPr>
      <w:r>
        <w:rPr>
          <w:rFonts w:hint="eastAsia" w:ascii="仿宋_GB2312" w:hAnsi="宋体" w:eastAsia="仿宋_GB2312"/>
          <w:sz w:val="32"/>
          <w:szCs w:val="32"/>
        </w:rPr>
        <w:t>表</w:t>
      </w:r>
      <w:r>
        <w:rPr>
          <w:rFonts w:eastAsia="仿宋_GB2312"/>
          <w:sz w:val="32"/>
          <w:szCs w:val="32"/>
        </w:rPr>
        <w:t>1</w:t>
      </w:r>
      <w:r>
        <w:rPr>
          <w:rFonts w:hint="eastAsia" w:ascii="仿宋_GB2312" w:hAnsi="宋体" w:eastAsia="仿宋_GB2312"/>
          <w:sz w:val="32"/>
          <w:szCs w:val="32"/>
        </w:rPr>
        <w:t xml:space="preserve">  公共管理学院教职工具体岗位数</w:t>
      </w:r>
    </w:p>
    <w:tbl>
      <w:tblPr>
        <w:tblStyle w:val="11"/>
        <w:tblW w:w="8525" w:type="dxa"/>
        <w:jc w:val="center"/>
        <w:tblInd w:w="-5" w:type="dxa"/>
        <w:tblLayout w:type="fixed"/>
        <w:tblCellMar>
          <w:top w:w="0" w:type="dxa"/>
          <w:left w:w="0" w:type="dxa"/>
          <w:bottom w:w="0" w:type="dxa"/>
          <w:right w:w="0" w:type="dxa"/>
        </w:tblCellMar>
      </w:tblPr>
      <w:tblGrid>
        <w:gridCol w:w="661"/>
        <w:gridCol w:w="397"/>
        <w:gridCol w:w="661"/>
        <w:gridCol w:w="397"/>
        <w:gridCol w:w="397"/>
        <w:gridCol w:w="661"/>
        <w:gridCol w:w="520"/>
        <w:gridCol w:w="514"/>
        <w:gridCol w:w="409"/>
        <w:gridCol w:w="400"/>
        <w:gridCol w:w="358"/>
        <w:gridCol w:w="357"/>
        <w:gridCol w:w="353"/>
        <w:gridCol w:w="870"/>
        <w:gridCol w:w="846"/>
        <w:gridCol w:w="695"/>
        <w:gridCol w:w="29"/>
      </w:tblGrid>
      <w:tr>
        <w:tblPrEx>
          <w:tblLayout w:type="fixed"/>
          <w:tblCellMar>
            <w:top w:w="0" w:type="dxa"/>
            <w:left w:w="0" w:type="dxa"/>
            <w:bottom w:w="0" w:type="dxa"/>
            <w:right w:w="0" w:type="dxa"/>
          </w:tblCellMar>
        </w:tblPrEx>
        <w:trPr>
          <w:cantSplit/>
          <w:trHeight w:val="285" w:hRule="atLeast"/>
          <w:jc w:val="center"/>
        </w:trPr>
        <w:tc>
          <w:tcPr>
            <w:tcW w:w="661" w:type="dxa"/>
            <w:vMerge w:val="restart"/>
            <w:tcBorders>
              <w:top w:val="single" w:color="auto" w:sz="4" w:space="0"/>
              <w:left w:val="single" w:color="auto" w:sz="4" w:space="0"/>
              <w:right w:val="single" w:color="000000" w:sz="4" w:space="0"/>
            </w:tcBorders>
            <w:vAlign w:val="center"/>
          </w:tcPr>
          <w:p>
            <w:pPr>
              <w:spacing w:line="520" w:lineRule="exact"/>
              <w:jc w:val="center"/>
              <w:rPr>
                <w:rFonts w:hint="eastAsia" w:ascii="仿宋_GB2312" w:hAnsi="宋体" w:eastAsia="仿宋_GB2312"/>
                <w:bCs/>
              </w:rPr>
            </w:pPr>
            <w:r>
              <w:rPr>
                <w:rFonts w:hint="eastAsia" w:ascii="仿宋_GB2312" w:hAnsi="宋体" w:eastAsia="仿宋_GB2312"/>
                <w:bCs/>
              </w:rPr>
              <w:t>全院教职员工总数</w:t>
            </w:r>
          </w:p>
        </w:tc>
        <w:tc>
          <w:tcPr>
            <w:tcW w:w="1852"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hAnsi="宋体" w:eastAsia="仿宋_GB2312"/>
                <w:bCs/>
              </w:rPr>
            </w:pPr>
            <w:r>
              <w:rPr>
                <w:rFonts w:hint="eastAsia" w:ascii="仿宋_GB2312" w:hAnsi="宋体" w:eastAsia="仿宋_GB2312"/>
                <w:bCs/>
              </w:rPr>
              <w:t>其 中</w:t>
            </w:r>
          </w:p>
        </w:tc>
        <w:tc>
          <w:tcPr>
            <w:tcW w:w="4442" w:type="dxa"/>
            <w:gridSpan w:val="9"/>
            <w:tcBorders>
              <w:top w:val="single" w:color="auto" w:sz="4" w:space="0"/>
              <w:left w:val="single" w:color="auto" w:sz="4" w:space="0"/>
              <w:bottom w:val="single" w:color="auto" w:sz="4" w:space="0"/>
              <w:right w:val="single" w:color="auto" w:sz="4" w:space="0"/>
            </w:tcBorders>
            <w:vAlign w:val="center"/>
          </w:tcPr>
          <w:p>
            <w:pPr>
              <w:spacing w:line="520" w:lineRule="exact"/>
              <w:ind w:firstLine="200"/>
              <w:jc w:val="center"/>
              <w:rPr>
                <w:rFonts w:hint="eastAsia" w:ascii="仿宋_GB2312" w:hAnsi="宋体" w:eastAsia="仿宋_GB2312"/>
                <w:bCs/>
              </w:rPr>
            </w:pPr>
            <w:r>
              <w:rPr>
                <w:rFonts w:hint="eastAsia" w:ascii="仿宋_GB2312" w:hAnsi="宋体" w:eastAsia="仿宋_GB2312"/>
                <w:bCs/>
              </w:rPr>
              <w:t>全院专任</w:t>
            </w:r>
            <w:r>
              <w:rPr>
                <w:rFonts w:hint="eastAsia" w:ascii="仿宋_GB2312" w:hAnsi="宋体" w:eastAsia="仿宋_GB2312"/>
              </w:rPr>
              <w:t>教师岗位系列</w:t>
            </w:r>
            <w:r>
              <w:rPr>
                <w:rFonts w:hint="eastAsia" w:ascii="仿宋_GB2312" w:hAnsi="宋体" w:eastAsia="仿宋_GB2312"/>
                <w:bCs/>
              </w:rPr>
              <w:t>人员</w:t>
            </w:r>
          </w:p>
        </w:tc>
        <w:tc>
          <w:tcPr>
            <w:tcW w:w="1570"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ind w:firstLine="200"/>
              <w:jc w:val="center"/>
              <w:rPr>
                <w:rFonts w:hint="eastAsia" w:ascii="仿宋_GB2312" w:hAnsi="宋体" w:eastAsia="仿宋_GB2312"/>
              </w:rPr>
            </w:pPr>
            <w:r>
              <w:rPr>
                <w:rFonts w:hint="eastAsia" w:ascii="仿宋_GB2312" w:hAnsi="宋体" w:eastAsia="仿宋_GB2312"/>
              </w:rPr>
              <w:t>其它技</w:t>
            </w:r>
          </w:p>
          <w:p>
            <w:pPr>
              <w:spacing w:line="520" w:lineRule="exact"/>
              <w:ind w:firstLine="200"/>
              <w:jc w:val="center"/>
              <w:rPr>
                <w:rFonts w:hint="eastAsia" w:ascii="仿宋_GB2312" w:hAnsi="宋体" w:eastAsia="仿宋_GB2312"/>
                <w:bCs/>
              </w:rPr>
            </w:pPr>
            <w:r>
              <w:rPr>
                <w:rFonts w:hint="eastAsia" w:ascii="仿宋_GB2312" w:hAnsi="宋体" w:eastAsia="仿宋_GB2312"/>
              </w:rPr>
              <w:t>术岗位</w:t>
            </w:r>
          </w:p>
        </w:tc>
      </w:tr>
      <w:tr>
        <w:tblPrEx>
          <w:tblLayout w:type="fixed"/>
          <w:tblCellMar>
            <w:top w:w="0" w:type="dxa"/>
            <w:left w:w="0" w:type="dxa"/>
            <w:bottom w:w="0" w:type="dxa"/>
            <w:right w:w="0" w:type="dxa"/>
          </w:tblCellMar>
        </w:tblPrEx>
        <w:trPr>
          <w:gridAfter w:val="1"/>
          <w:wAfter w:w="29" w:type="dxa"/>
          <w:cantSplit/>
          <w:trHeight w:val="291" w:hRule="atLeast"/>
          <w:jc w:val="center"/>
        </w:trPr>
        <w:tc>
          <w:tcPr>
            <w:tcW w:w="661" w:type="dxa"/>
            <w:vMerge w:val="continue"/>
            <w:tcBorders>
              <w:left w:val="single" w:color="auto" w:sz="4" w:space="0"/>
              <w:right w:val="single" w:color="auto" w:sz="4" w:space="0"/>
            </w:tcBorders>
            <w:vAlign w:val="center"/>
          </w:tcPr>
          <w:p>
            <w:pPr>
              <w:spacing w:line="520" w:lineRule="exact"/>
              <w:ind w:firstLine="200"/>
              <w:jc w:val="center"/>
              <w:rPr>
                <w:rFonts w:hint="eastAsia" w:ascii="仿宋_GB2312" w:hAnsi="宋体" w:eastAsia="仿宋_GB2312"/>
                <w:bCs/>
              </w:rPr>
            </w:pPr>
          </w:p>
        </w:tc>
        <w:tc>
          <w:tcPr>
            <w:tcW w:w="397" w:type="dxa"/>
            <w:vMerge w:val="restart"/>
            <w:tcBorders>
              <w:top w:val="single" w:color="auto" w:sz="4" w:space="0"/>
              <w:left w:val="single" w:color="auto" w:sz="4" w:space="0"/>
              <w:right w:val="single" w:color="auto" w:sz="4" w:space="0"/>
            </w:tcBorders>
            <w:vAlign w:val="center"/>
          </w:tcPr>
          <w:p>
            <w:pPr>
              <w:spacing w:line="520" w:lineRule="exact"/>
              <w:jc w:val="center"/>
              <w:rPr>
                <w:rFonts w:hint="eastAsia" w:ascii="仿宋_GB2312" w:hAnsi="宋体" w:eastAsia="仿宋_GB2312"/>
                <w:bCs/>
              </w:rPr>
            </w:pPr>
            <w:r>
              <w:rPr>
                <w:rFonts w:hint="eastAsia" w:ascii="仿宋_GB2312" w:hAnsi="宋体" w:eastAsia="仿宋_GB2312"/>
                <w:bCs/>
              </w:rPr>
              <w:t>管理人员</w:t>
            </w:r>
          </w:p>
        </w:tc>
        <w:tc>
          <w:tcPr>
            <w:tcW w:w="661" w:type="dxa"/>
            <w:vMerge w:val="restart"/>
            <w:tcBorders>
              <w:top w:val="single" w:color="auto" w:sz="4" w:space="0"/>
              <w:left w:val="single" w:color="auto" w:sz="4" w:space="0"/>
              <w:right w:val="single" w:color="auto" w:sz="4" w:space="0"/>
            </w:tcBorders>
            <w:vAlign w:val="center"/>
          </w:tcPr>
          <w:p>
            <w:pPr>
              <w:spacing w:line="520" w:lineRule="exact"/>
              <w:jc w:val="center"/>
              <w:rPr>
                <w:rFonts w:hint="eastAsia" w:ascii="仿宋_GB2312" w:hAnsi="宋体" w:eastAsia="仿宋_GB2312"/>
                <w:bCs/>
              </w:rPr>
            </w:pPr>
            <w:r>
              <w:rPr>
                <w:rFonts w:hint="eastAsia" w:ascii="仿宋_GB2312" w:hAnsi="宋体" w:eastAsia="仿宋_GB2312"/>
                <w:bCs/>
              </w:rPr>
              <w:t>专职</w:t>
            </w:r>
          </w:p>
          <w:p>
            <w:pPr>
              <w:spacing w:line="520" w:lineRule="exact"/>
              <w:jc w:val="center"/>
              <w:rPr>
                <w:rFonts w:hint="eastAsia" w:ascii="仿宋_GB2312" w:hAnsi="宋体" w:eastAsia="仿宋_GB2312"/>
                <w:bCs/>
              </w:rPr>
            </w:pPr>
            <w:r>
              <w:rPr>
                <w:rFonts w:hint="eastAsia" w:ascii="仿宋_GB2312" w:hAnsi="宋体" w:eastAsia="仿宋_GB2312"/>
                <w:bCs/>
              </w:rPr>
              <w:t>辅导员</w:t>
            </w:r>
          </w:p>
        </w:tc>
        <w:tc>
          <w:tcPr>
            <w:tcW w:w="397" w:type="dxa"/>
            <w:vMerge w:val="restart"/>
            <w:tcBorders>
              <w:top w:val="single" w:color="auto" w:sz="4" w:space="0"/>
              <w:left w:val="single" w:color="auto" w:sz="4" w:space="0"/>
              <w:right w:val="single" w:color="auto" w:sz="4" w:space="0"/>
            </w:tcBorders>
            <w:vAlign w:val="center"/>
          </w:tcPr>
          <w:p>
            <w:pPr>
              <w:spacing w:line="520" w:lineRule="exact"/>
              <w:jc w:val="center"/>
              <w:rPr>
                <w:rFonts w:hint="eastAsia" w:ascii="仿宋_GB2312" w:hAnsi="宋体" w:eastAsia="仿宋_GB2312"/>
              </w:rPr>
            </w:pPr>
            <w:r>
              <w:rPr>
                <w:rFonts w:hint="eastAsia" w:ascii="仿宋_GB2312" w:hAnsi="宋体" w:eastAsia="仿宋_GB2312"/>
              </w:rPr>
              <w:t>其他</w:t>
            </w:r>
          </w:p>
          <w:p>
            <w:pPr>
              <w:spacing w:line="520" w:lineRule="exact"/>
              <w:jc w:val="center"/>
              <w:rPr>
                <w:rFonts w:hint="eastAsia" w:ascii="仿宋_GB2312" w:hAnsi="宋体" w:eastAsia="仿宋_GB2312"/>
                <w:bCs/>
              </w:rPr>
            </w:pPr>
            <w:r>
              <w:rPr>
                <w:rFonts w:hint="eastAsia" w:ascii="仿宋_GB2312" w:hAnsi="宋体" w:eastAsia="仿宋_GB2312"/>
              </w:rPr>
              <w:t>技术</w:t>
            </w:r>
          </w:p>
        </w:tc>
        <w:tc>
          <w:tcPr>
            <w:tcW w:w="397" w:type="dxa"/>
            <w:vMerge w:val="restart"/>
            <w:tcBorders>
              <w:top w:val="single" w:color="auto" w:sz="4" w:space="0"/>
              <w:left w:val="single" w:color="auto" w:sz="4" w:space="0"/>
              <w:right w:val="single" w:color="auto" w:sz="4" w:space="0"/>
            </w:tcBorders>
            <w:vAlign w:val="center"/>
          </w:tcPr>
          <w:p>
            <w:pPr>
              <w:spacing w:line="520" w:lineRule="exact"/>
              <w:jc w:val="center"/>
              <w:rPr>
                <w:rFonts w:hint="eastAsia" w:ascii="仿宋_GB2312" w:hAnsi="宋体" w:eastAsia="仿宋_GB2312"/>
              </w:rPr>
            </w:pPr>
            <w:r>
              <w:rPr>
                <w:rFonts w:hint="eastAsia" w:ascii="仿宋_GB2312" w:hAnsi="宋体" w:eastAsia="仿宋_GB2312"/>
              </w:rPr>
              <w:t>专任</w:t>
            </w:r>
          </w:p>
          <w:p>
            <w:pPr>
              <w:spacing w:line="520" w:lineRule="exact"/>
              <w:jc w:val="center"/>
              <w:rPr>
                <w:rFonts w:hint="eastAsia" w:ascii="仿宋_GB2312" w:hAnsi="宋体" w:eastAsia="仿宋_GB2312"/>
                <w:bCs/>
              </w:rPr>
            </w:pPr>
            <w:r>
              <w:rPr>
                <w:rFonts w:hint="eastAsia" w:ascii="仿宋_GB2312" w:hAnsi="宋体" w:eastAsia="仿宋_GB2312"/>
              </w:rPr>
              <w:t>教师</w:t>
            </w:r>
          </w:p>
        </w:tc>
        <w:tc>
          <w:tcPr>
            <w:tcW w:w="1181"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hAnsi="宋体" w:eastAsia="仿宋_GB2312"/>
                <w:bCs/>
              </w:rPr>
            </w:pPr>
            <w:r>
              <w:rPr>
                <w:rFonts w:hint="eastAsia" w:ascii="仿宋_GB2312" w:hAnsi="宋体" w:eastAsia="仿宋_GB2312"/>
                <w:bCs/>
              </w:rPr>
              <w:t>正高</w:t>
            </w:r>
          </w:p>
          <w:p>
            <w:pPr>
              <w:spacing w:line="520" w:lineRule="exact"/>
              <w:jc w:val="center"/>
              <w:rPr>
                <w:rFonts w:eastAsia="仿宋_GB2312"/>
                <w:bCs/>
              </w:rPr>
            </w:pPr>
            <w:r>
              <w:rPr>
                <w:rFonts w:hint="eastAsia" w:ascii="仿宋_GB2312" w:hAnsi="宋体" w:eastAsia="仿宋_GB2312"/>
                <w:bCs/>
              </w:rPr>
              <w:t>人</w:t>
            </w:r>
          </w:p>
        </w:tc>
        <w:tc>
          <w:tcPr>
            <w:tcW w:w="1323" w:type="dxa"/>
            <w:gridSpan w:val="3"/>
            <w:tcBorders>
              <w:top w:val="nil"/>
              <w:left w:val="nil"/>
              <w:bottom w:val="single" w:color="auto" w:sz="4" w:space="0"/>
              <w:right w:val="single" w:color="auto" w:sz="4" w:space="0"/>
            </w:tcBorders>
            <w:vAlign w:val="center"/>
          </w:tcPr>
          <w:p>
            <w:pPr>
              <w:spacing w:line="520" w:lineRule="exact"/>
              <w:ind w:firstLine="200"/>
              <w:jc w:val="center"/>
              <w:rPr>
                <w:rFonts w:hint="eastAsia" w:ascii="仿宋_GB2312" w:hAnsi="宋体" w:eastAsia="仿宋_GB2312"/>
                <w:bCs/>
              </w:rPr>
            </w:pPr>
            <w:r>
              <w:rPr>
                <w:rFonts w:hint="eastAsia" w:ascii="仿宋_GB2312" w:hAnsi="宋体" w:eastAsia="仿宋_GB2312"/>
                <w:bCs/>
              </w:rPr>
              <w:t>副高</w:t>
            </w:r>
            <w:r>
              <w:rPr>
                <w:rFonts w:hint="eastAsia" w:ascii="仿宋_GB2312" w:hAnsi="宋体" w:eastAsia="仿宋_GB2312"/>
                <w:bCs/>
                <w:lang w:val="en-US" w:eastAsia="zh-CN"/>
              </w:rPr>
              <w:t xml:space="preserve"> </w:t>
            </w:r>
            <w:r>
              <w:rPr>
                <w:rFonts w:hint="eastAsia" w:ascii="仿宋_GB2312" w:hAnsi="宋体" w:eastAsia="仿宋_GB2312"/>
                <w:bCs/>
              </w:rPr>
              <w:t>人</w:t>
            </w:r>
          </w:p>
        </w:tc>
        <w:tc>
          <w:tcPr>
            <w:tcW w:w="1068" w:type="dxa"/>
            <w:gridSpan w:val="3"/>
            <w:tcBorders>
              <w:top w:val="nil"/>
              <w:left w:val="nil"/>
              <w:bottom w:val="single" w:color="auto" w:sz="4" w:space="0"/>
              <w:right w:val="single" w:color="auto" w:sz="4" w:space="0"/>
            </w:tcBorders>
            <w:vAlign w:val="center"/>
          </w:tcPr>
          <w:p>
            <w:pPr>
              <w:spacing w:line="520" w:lineRule="exact"/>
              <w:ind w:firstLine="200"/>
              <w:jc w:val="center"/>
              <w:rPr>
                <w:rFonts w:hint="eastAsia" w:ascii="仿宋_GB2312" w:hAnsi="宋体" w:eastAsia="仿宋_GB2312"/>
                <w:bCs/>
              </w:rPr>
            </w:pPr>
            <w:r>
              <w:rPr>
                <w:rFonts w:hint="eastAsia" w:ascii="仿宋_GB2312" w:hAnsi="宋体" w:eastAsia="仿宋_GB2312"/>
                <w:bCs/>
              </w:rPr>
              <w:t>讲师</w:t>
            </w:r>
            <w:r>
              <w:rPr>
                <w:rFonts w:hint="eastAsia" w:ascii="仿宋_GB2312" w:hAnsi="宋体" w:eastAsia="仿宋_GB2312"/>
                <w:bCs/>
                <w:lang w:val="en-US" w:eastAsia="zh-CN"/>
              </w:rPr>
              <w:t xml:space="preserve"> </w:t>
            </w:r>
            <w:r>
              <w:rPr>
                <w:rFonts w:hint="eastAsia" w:ascii="仿宋_GB2312" w:hAnsi="宋体" w:eastAsia="仿宋_GB2312"/>
                <w:bCs/>
              </w:rPr>
              <w:t>人</w:t>
            </w:r>
          </w:p>
        </w:tc>
        <w:tc>
          <w:tcPr>
            <w:tcW w:w="870" w:type="dxa"/>
            <w:tcBorders>
              <w:top w:val="nil"/>
              <w:left w:val="nil"/>
              <w:bottom w:val="single" w:color="auto" w:sz="4" w:space="0"/>
              <w:right w:val="single" w:color="auto" w:sz="4" w:space="0"/>
            </w:tcBorders>
            <w:vAlign w:val="center"/>
          </w:tcPr>
          <w:p>
            <w:pPr>
              <w:spacing w:line="520" w:lineRule="exact"/>
              <w:jc w:val="center"/>
              <w:rPr>
                <w:rFonts w:hint="eastAsia" w:ascii="仿宋_GB2312" w:hAnsi="宋体" w:eastAsia="仿宋_GB2312"/>
                <w:bCs/>
              </w:rPr>
            </w:pPr>
            <w:r>
              <w:rPr>
                <w:rFonts w:hint="eastAsia" w:ascii="仿宋_GB2312" w:hAnsi="宋体" w:eastAsia="仿宋_GB2312"/>
                <w:bCs/>
              </w:rPr>
              <w:t>初级</w:t>
            </w:r>
          </w:p>
          <w:p>
            <w:pPr>
              <w:spacing w:line="520" w:lineRule="exact"/>
              <w:jc w:val="center"/>
              <w:rPr>
                <w:rFonts w:hint="eastAsia" w:ascii="仿宋_GB2312" w:hAnsi="宋体" w:eastAsia="仿宋_GB2312"/>
                <w:bCs/>
              </w:rPr>
            </w:pPr>
            <w:r>
              <w:rPr>
                <w:rFonts w:hint="eastAsia" w:ascii="仿宋_GB2312" w:hAnsi="宋体" w:eastAsia="仿宋_GB2312"/>
                <w:bCs/>
              </w:rPr>
              <w:t>人</w:t>
            </w:r>
          </w:p>
        </w:tc>
        <w:tc>
          <w:tcPr>
            <w:tcW w:w="846" w:type="dxa"/>
            <w:tcBorders>
              <w:top w:val="nil"/>
              <w:left w:val="nil"/>
              <w:bottom w:val="single" w:color="auto" w:sz="4" w:space="0"/>
              <w:right w:val="single" w:color="auto" w:sz="4" w:space="0"/>
            </w:tcBorders>
            <w:vAlign w:val="center"/>
          </w:tcPr>
          <w:p>
            <w:pPr>
              <w:spacing w:line="520" w:lineRule="exact"/>
              <w:jc w:val="center"/>
              <w:rPr>
                <w:rFonts w:hint="eastAsia" w:ascii="仿宋_GB2312" w:hAnsi="宋体" w:eastAsia="仿宋_GB2312"/>
                <w:bCs/>
              </w:rPr>
            </w:pPr>
            <w:r>
              <w:rPr>
                <w:rFonts w:hint="eastAsia" w:ascii="仿宋_GB2312" w:hAnsi="宋体" w:eastAsia="仿宋_GB2312"/>
                <w:bCs/>
              </w:rPr>
              <w:t>中级</w:t>
            </w:r>
          </w:p>
          <w:p>
            <w:pPr>
              <w:spacing w:line="520" w:lineRule="exact"/>
              <w:ind w:firstLine="409" w:firstLineChars="195"/>
              <w:rPr>
                <w:rFonts w:hint="eastAsia" w:ascii="仿宋_GB2312" w:hAnsi="宋体" w:eastAsia="仿宋_GB2312"/>
                <w:bCs/>
              </w:rPr>
            </w:pPr>
            <w:r>
              <w:rPr>
                <w:rFonts w:hint="eastAsia" w:ascii="仿宋_GB2312" w:hAnsi="宋体" w:eastAsia="仿宋_GB2312"/>
                <w:bCs/>
              </w:rPr>
              <w:t>人</w:t>
            </w:r>
          </w:p>
        </w:tc>
        <w:tc>
          <w:tcPr>
            <w:tcW w:w="695" w:type="dxa"/>
            <w:tcBorders>
              <w:top w:val="nil"/>
              <w:left w:val="nil"/>
              <w:bottom w:val="single" w:color="auto" w:sz="4" w:space="0"/>
              <w:right w:val="single" w:color="auto" w:sz="4" w:space="0"/>
            </w:tcBorders>
            <w:vAlign w:val="center"/>
          </w:tcPr>
          <w:p>
            <w:pPr>
              <w:spacing w:line="520" w:lineRule="exact"/>
              <w:jc w:val="center"/>
              <w:rPr>
                <w:rFonts w:hint="eastAsia" w:ascii="仿宋_GB2312" w:hAnsi="宋体" w:eastAsia="仿宋_GB2312"/>
                <w:bCs/>
              </w:rPr>
            </w:pPr>
            <w:r>
              <w:rPr>
                <w:rFonts w:hint="eastAsia" w:ascii="仿宋_GB2312" w:hAnsi="宋体" w:eastAsia="仿宋_GB2312"/>
                <w:bCs/>
              </w:rPr>
              <w:t>初级</w:t>
            </w:r>
          </w:p>
          <w:p>
            <w:pPr>
              <w:spacing w:line="520" w:lineRule="exact"/>
              <w:ind w:firstLine="200"/>
              <w:rPr>
                <w:rFonts w:hint="eastAsia" w:ascii="仿宋_GB2312" w:hAnsi="宋体" w:eastAsia="仿宋_GB2312"/>
                <w:bCs/>
              </w:rPr>
            </w:pPr>
            <w:r>
              <w:rPr>
                <w:rFonts w:hint="eastAsia" w:eastAsia="仿宋_GB2312"/>
                <w:bCs/>
                <w:lang w:val="en-US" w:eastAsia="zh-CN"/>
              </w:rPr>
              <w:t xml:space="preserve"> </w:t>
            </w:r>
            <w:r>
              <w:rPr>
                <w:rFonts w:hint="eastAsia" w:ascii="仿宋_GB2312" w:hAnsi="宋体" w:eastAsia="仿宋_GB2312"/>
                <w:bCs/>
              </w:rPr>
              <w:t>人</w:t>
            </w:r>
          </w:p>
        </w:tc>
      </w:tr>
      <w:tr>
        <w:tblPrEx>
          <w:tblLayout w:type="fixed"/>
          <w:tblCellMar>
            <w:top w:w="0" w:type="dxa"/>
            <w:left w:w="0" w:type="dxa"/>
            <w:bottom w:w="0" w:type="dxa"/>
            <w:right w:w="0" w:type="dxa"/>
          </w:tblCellMar>
        </w:tblPrEx>
        <w:trPr>
          <w:cantSplit/>
          <w:trHeight w:val="296" w:hRule="atLeast"/>
          <w:jc w:val="center"/>
        </w:trPr>
        <w:tc>
          <w:tcPr>
            <w:tcW w:w="661" w:type="dxa"/>
            <w:vMerge w:val="continue"/>
            <w:tcBorders>
              <w:left w:val="single" w:color="auto" w:sz="4" w:space="0"/>
              <w:bottom w:val="single" w:color="auto" w:sz="4" w:space="0"/>
              <w:right w:val="single" w:color="auto" w:sz="4" w:space="0"/>
            </w:tcBorders>
            <w:vAlign w:val="center"/>
          </w:tcPr>
          <w:p>
            <w:pPr>
              <w:spacing w:line="520" w:lineRule="exact"/>
              <w:ind w:firstLine="200"/>
              <w:jc w:val="center"/>
              <w:rPr>
                <w:rFonts w:hint="eastAsia" w:ascii="仿宋_GB2312" w:hAnsi="宋体" w:eastAsia="仿宋_GB2312"/>
                <w:bCs/>
              </w:rPr>
            </w:pPr>
          </w:p>
        </w:tc>
        <w:tc>
          <w:tcPr>
            <w:tcW w:w="397" w:type="dxa"/>
            <w:vMerge w:val="continue"/>
            <w:tcBorders>
              <w:left w:val="single" w:color="auto" w:sz="4" w:space="0"/>
              <w:bottom w:val="single" w:color="auto" w:sz="4" w:space="0"/>
              <w:right w:val="single" w:color="auto" w:sz="4" w:space="0"/>
            </w:tcBorders>
            <w:vAlign w:val="center"/>
          </w:tcPr>
          <w:p>
            <w:pPr>
              <w:spacing w:line="520" w:lineRule="exact"/>
              <w:ind w:firstLine="200"/>
              <w:jc w:val="center"/>
              <w:rPr>
                <w:rFonts w:hint="eastAsia" w:ascii="仿宋_GB2312" w:hAnsi="宋体" w:eastAsia="仿宋_GB2312"/>
                <w:bCs/>
              </w:rPr>
            </w:pPr>
          </w:p>
        </w:tc>
        <w:tc>
          <w:tcPr>
            <w:tcW w:w="661" w:type="dxa"/>
            <w:vMerge w:val="continue"/>
            <w:tcBorders>
              <w:left w:val="single" w:color="auto" w:sz="4" w:space="0"/>
              <w:bottom w:val="single" w:color="auto" w:sz="4" w:space="0"/>
              <w:right w:val="single" w:color="auto" w:sz="4" w:space="0"/>
            </w:tcBorders>
            <w:vAlign w:val="center"/>
          </w:tcPr>
          <w:p>
            <w:pPr>
              <w:spacing w:line="520" w:lineRule="exact"/>
              <w:ind w:firstLine="200"/>
              <w:jc w:val="center"/>
              <w:rPr>
                <w:rFonts w:hint="eastAsia" w:ascii="仿宋_GB2312" w:hAnsi="宋体" w:eastAsia="仿宋_GB2312"/>
                <w:bCs/>
              </w:rPr>
            </w:pPr>
          </w:p>
        </w:tc>
        <w:tc>
          <w:tcPr>
            <w:tcW w:w="397" w:type="dxa"/>
            <w:vMerge w:val="continue"/>
            <w:tcBorders>
              <w:left w:val="single" w:color="auto" w:sz="4" w:space="0"/>
              <w:bottom w:val="single" w:color="auto" w:sz="4" w:space="0"/>
              <w:right w:val="single" w:color="auto" w:sz="4" w:space="0"/>
            </w:tcBorders>
            <w:vAlign w:val="center"/>
          </w:tcPr>
          <w:p>
            <w:pPr>
              <w:spacing w:line="520" w:lineRule="exact"/>
              <w:ind w:firstLine="200"/>
              <w:jc w:val="center"/>
              <w:rPr>
                <w:rFonts w:hint="eastAsia" w:ascii="仿宋_GB2312" w:hAnsi="宋体" w:eastAsia="仿宋_GB2312"/>
                <w:bCs/>
              </w:rPr>
            </w:pPr>
          </w:p>
        </w:tc>
        <w:tc>
          <w:tcPr>
            <w:tcW w:w="397" w:type="dxa"/>
            <w:vMerge w:val="continue"/>
            <w:tcBorders>
              <w:left w:val="single" w:color="auto" w:sz="4" w:space="0"/>
              <w:bottom w:val="single" w:color="auto" w:sz="4" w:space="0"/>
              <w:right w:val="single" w:color="auto" w:sz="4" w:space="0"/>
            </w:tcBorders>
            <w:vAlign w:val="center"/>
          </w:tcPr>
          <w:p>
            <w:pPr>
              <w:spacing w:line="520" w:lineRule="exact"/>
              <w:ind w:firstLine="200"/>
              <w:jc w:val="center"/>
              <w:rPr>
                <w:rFonts w:hint="eastAsia" w:ascii="仿宋_GB2312" w:hAnsi="宋体" w:eastAsia="仿宋_GB2312"/>
                <w:bCs/>
              </w:rPr>
            </w:pPr>
          </w:p>
        </w:tc>
        <w:tc>
          <w:tcPr>
            <w:tcW w:w="661" w:type="dxa"/>
            <w:tcBorders>
              <w:top w:val="nil"/>
              <w:left w:val="single" w:color="auto" w:sz="4" w:space="0"/>
              <w:bottom w:val="single" w:color="auto" w:sz="4" w:space="0"/>
              <w:right w:val="single" w:color="auto" w:sz="4" w:space="0"/>
            </w:tcBorders>
            <w:vAlign w:val="center"/>
          </w:tcPr>
          <w:p>
            <w:pPr>
              <w:spacing w:line="520" w:lineRule="exact"/>
              <w:jc w:val="both"/>
              <w:rPr>
                <w:rFonts w:hint="eastAsia" w:ascii="仿宋_GB2312" w:hAnsi="宋体" w:eastAsia="仿宋_GB2312"/>
                <w:bCs/>
              </w:rPr>
            </w:pPr>
            <w:r>
              <w:rPr>
                <w:rFonts w:hint="eastAsia" w:eastAsia="仿宋_GB2312"/>
                <w:bCs/>
                <w:lang w:val="en-US" w:eastAsia="zh-CN"/>
              </w:rPr>
              <w:t>1-3</w:t>
            </w:r>
            <w:r>
              <w:rPr>
                <w:rFonts w:hint="eastAsia" w:ascii="仿宋_GB2312" w:hAnsi="宋体" w:eastAsia="仿宋_GB2312"/>
                <w:bCs/>
              </w:rPr>
              <w:t>级</w:t>
            </w:r>
          </w:p>
          <w:p>
            <w:pPr>
              <w:spacing w:line="520" w:lineRule="exact"/>
              <w:ind w:firstLine="200"/>
              <w:jc w:val="center"/>
              <w:rPr>
                <w:rFonts w:hint="eastAsia" w:ascii="仿宋_GB2312" w:hAnsi="宋体" w:eastAsia="仿宋_GB2312"/>
                <w:bCs/>
              </w:rPr>
            </w:pPr>
          </w:p>
        </w:tc>
        <w:tc>
          <w:tcPr>
            <w:tcW w:w="520" w:type="dxa"/>
            <w:tcBorders>
              <w:top w:val="nil"/>
              <w:left w:val="nil"/>
              <w:bottom w:val="single" w:color="auto" w:sz="4" w:space="0"/>
              <w:right w:val="single" w:color="auto" w:sz="4" w:space="0"/>
            </w:tcBorders>
            <w:vAlign w:val="center"/>
          </w:tcPr>
          <w:p>
            <w:pPr>
              <w:spacing w:line="520" w:lineRule="exact"/>
              <w:jc w:val="both"/>
              <w:rPr>
                <w:rFonts w:eastAsia="仿宋_GB2312"/>
                <w:bCs/>
              </w:rPr>
            </w:pPr>
            <w:r>
              <w:rPr>
                <w:rFonts w:eastAsia="仿宋_GB2312"/>
                <w:bCs/>
              </w:rPr>
              <w:t>4</w:t>
            </w:r>
            <w:r>
              <w:rPr>
                <w:rFonts w:hint="eastAsia" w:ascii="仿宋_GB2312" w:hAnsi="宋体" w:eastAsia="仿宋_GB2312"/>
                <w:bCs/>
              </w:rPr>
              <w:t>级</w:t>
            </w:r>
          </w:p>
        </w:tc>
        <w:tc>
          <w:tcPr>
            <w:tcW w:w="514" w:type="dxa"/>
            <w:tcBorders>
              <w:top w:val="nil"/>
              <w:left w:val="nil"/>
              <w:bottom w:val="single" w:color="auto" w:sz="4" w:space="0"/>
              <w:right w:val="single" w:color="auto" w:sz="4" w:space="0"/>
            </w:tcBorders>
            <w:vAlign w:val="center"/>
          </w:tcPr>
          <w:p>
            <w:pPr>
              <w:spacing w:line="520" w:lineRule="exact"/>
              <w:jc w:val="center"/>
              <w:rPr>
                <w:rFonts w:hint="eastAsia" w:ascii="仿宋_GB2312" w:hAnsi="宋体" w:eastAsia="仿宋_GB2312"/>
                <w:bCs/>
              </w:rPr>
            </w:pPr>
            <w:r>
              <w:rPr>
                <w:rFonts w:eastAsia="仿宋_GB2312"/>
                <w:bCs/>
              </w:rPr>
              <w:t>5</w:t>
            </w:r>
            <w:r>
              <w:rPr>
                <w:rFonts w:hint="eastAsia" w:ascii="仿宋_GB2312" w:hAnsi="宋体" w:eastAsia="仿宋_GB2312"/>
                <w:bCs/>
              </w:rPr>
              <w:t>级</w:t>
            </w:r>
          </w:p>
        </w:tc>
        <w:tc>
          <w:tcPr>
            <w:tcW w:w="409" w:type="dxa"/>
            <w:tcBorders>
              <w:top w:val="nil"/>
              <w:left w:val="nil"/>
              <w:bottom w:val="single" w:color="auto" w:sz="4" w:space="0"/>
              <w:right w:val="single" w:color="auto" w:sz="4" w:space="0"/>
            </w:tcBorders>
            <w:vAlign w:val="center"/>
          </w:tcPr>
          <w:p>
            <w:pPr>
              <w:spacing w:line="520" w:lineRule="exact"/>
              <w:jc w:val="center"/>
              <w:rPr>
                <w:rFonts w:hint="eastAsia" w:ascii="仿宋_GB2312" w:hAnsi="宋体" w:eastAsia="仿宋_GB2312"/>
                <w:bCs/>
              </w:rPr>
            </w:pPr>
            <w:r>
              <w:rPr>
                <w:rFonts w:eastAsia="仿宋_GB2312"/>
                <w:bCs/>
              </w:rPr>
              <w:t>6</w:t>
            </w:r>
            <w:r>
              <w:rPr>
                <w:rFonts w:hint="eastAsia" w:ascii="仿宋_GB2312" w:hAnsi="宋体" w:eastAsia="仿宋_GB2312"/>
                <w:bCs/>
              </w:rPr>
              <w:t>级</w:t>
            </w:r>
          </w:p>
        </w:tc>
        <w:tc>
          <w:tcPr>
            <w:tcW w:w="400" w:type="dxa"/>
            <w:tcBorders>
              <w:top w:val="nil"/>
              <w:left w:val="nil"/>
              <w:bottom w:val="single" w:color="auto" w:sz="4" w:space="0"/>
              <w:right w:val="single" w:color="auto" w:sz="4" w:space="0"/>
            </w:tcBorders>
            <w:vAlign w:val="center"/>
          </w:tcPr>
          <w:p>
            <w:pPr>
              <w:spacing w:line="520" w:lineRule="exact"/>
              <w:jc w:val="center"/>
              <w:rPr>
                <w:rFonts w:hint="eastAsia" w:ascii="仿宋_GB2312" w:hAnsi="宋体" w:eastAsia="仿宋_GB2312"/>
                <w:bCs/>
              </w:rPr>
            </w:pPr>
            <w:r>
              <w:rPr>
                <w:rFonts w:eastAsia="仿宋_GB2312"/>
                <w:bCs/>
              </w:rPr>
              <w:t>7</w:t>
            </w:r>
            <w:r>
              <w:rPr>
                <w:rFonts w:hint="eastAsia" w:ascii="仿宋_GB2312" w:hAnsi="宋体" w:eastAsia="仿宋_GB2312"/>
                <w:bCs/>
              </w:rPr>
              <w:t>级</w:t>
            </w:r>
          </w:p>
        </w:tc>
        <w:tc>
          <w:tcPr>
            <w:tcW w:w="358" w:type="dxa"/>
            <w:tcBorders>
              <w:top w:val="nil"/>
              <w:left w:val="nil"/>
              <w:bottom w:val="single" w:color="auto" w:sz="4" w:space="0"/>
              <w:right w:val="single" w:color="auto" w:sz="4" w:space="0"/>
            </w:tcBorders>
            <w:vAlign w:val="center"/>
          </w:tcPr>
          <w:p>
            <w:pPr>
              <w:spacing w:line="520" w:lineRule="exact"/>
              <w:jc w:val="center"/>
              <w:rPr>
                <w:rFonts w:hint="eastAsia" w:ascii="仿宋_GB2312" w:hAnsi="宋体" w:eastAsia="仿宋_GB2312"/>
                <w:bCs/>
              </w:rPr>
            </w:pPr>
            <w:r>
              <w:rPr>
                <w:rFonts w:eastAsia="仿宋_GB2312"/>
                <w:bCs/>
              </w:rPr>
              <w:t>8</w:t>
            </w:r>
            <w:r>
              <w:rPr>
                <w:rFonts w:hint="eastAsia" w:ascii="仿宋_GB2312" w:hAnsi="宋体" w:eastAsia="仿宋_GB2312"/>
                <w:bCs/>
              </w:rPr>
              <w:t>级</w:t>
            </w:r>
          </w:p>
        </w:tc>
        <w:tc>
          <w:tcPr>
            <w:tcW w:w="357" w:type="dxa"/>
            <w:tcBorders>
              <w:top w:val="nil"/>
              <w:left w:val="nil"/>
              <w:bottom w:val="single" w:color="auto" w:sz="4" w:space="0"/>
              <w:right w:val="single" w:color="auto" w:sz="4" w:space="0"/>
            </w:tcBorders>
            <w:vAlign w:val="center"/>
          </w:tcPr>
          <w:p>
            <w:pPr>
              <w:spacing w:line="520" w:lineRule="exact"/>
              <w:jc w:val="center"/>
              <w:rPr>
                <w:rFonts w:hint="eastAsia" w:ascii="仿宋_GB2312" w:hAnsi="宋体" w:eastAsia="仿宋_GB2312"/>
                <w:bCs/>
              </w:rPr>
            </w:pPr>
            <w:r>
              <w:rPr>
                <w:rFonts w:eastAsia="仿宋_GB2312"/>
                <w:bCs/>
              </w:rPr>
              <w:t>9</w:t>
            </w:r>
            <w:r>
              <w:rPr>
                <w:rFonts w:hint="eastAsia" w:ascii="仿宋_GB2312" w:hAnsi="宋体" w:eastAsia="仿宋_GB2312"/>
                <w:bCs/>
              </w:rPr>
              <w:t>级</w:t>
            </w:r>
          </w:p>
        </w:tc>
        <w:tc>
          <w:tcPr>
            <w:tcW w:w="353" w:type="dxa"/>
            <w:tcBorders>
              <w:top w:val="nil"/>
              <w:left w:val="nil"/>
              <w:bottom w:val="single" w:color="auto" w:sz="4" w:space="0"/>
              <w:right w:val="single" w:color="auto" w:sz="4" w:space="0"/>
            </w:tcBorders>
            <w:vAlign w:val="center"/>
          </w:tcPr>
          <w:p>
            <w:pPr>
              <w:spacing w:line="520" w:lineRule="exact"/>
              <w:jc w:val="center"/>
              <w:rPr>
                <w:rFonts w:hint="eastAsia" w:ascii="仿宋_GB2312" w:hAnsi="宋体" w:eastAsia="仿宋_GB2312"/>
                <w:bCs/>
              </w:rPr>
            </w:pPr>
            <w:r>
              <w:rPr>
                <w:rFonts w:eastAsia="仿宋_GB2312"/>
                <w:bCs/>
              </w:rPr>
              <w:t>10</w:t>
            </w:r>
            <w:r>
              <w:rPr>
                <w:rFonts w:hint="eastAsia" w:ascii="仿宋_GB2312" w:hAnsi="宋体" w:eastAsia="仿宋_GB2312"/>
                <w:bCs/>
              </w:rPr>
              <w:t>级</w:t>
            </w:r>
          </w:p>
        </w:tc>
        <w:tc>
          <w:tcPr>
            <w:tcW w:w="870" w:type="dxa"/>
            <w:tcBorders>
              <w:top w:val="nil"/>
              <w:left w:val="nil"/>
              <w:bottom w:val="single" w:color="auto" w:sz="4" w:space="0"/>
              <w:right w:val="single" w:color="auto" w:sz="4" w:space="0"/>
            </w:tcBorders>
            <w:vAlign w:val="center"/>
          </w:tcPr>
          <w:p>
            <w:pPr>
              <w:spacing w:line="520" w:lineRule="exact"/>
              <w:jc w:val="center"/>
              <w:rPr>
                <w:rFonts w:hint="eastAsia" w:ascii="仿宋_GB2312" w:hAnsi="宋体" w:eastAsia="仿宋_GB2312"/>
                <w:bCs/>
              </w:rPr>
            </w:pPr>
            <w:r>
              <w:rPr>
                <w:rFonts w:eastAsia="仿宋_GB2312"/>
                <w:bCs/>
              </w:rPr>
              <w:t>11</w:t>
            </w:r>
            <w:r>
              <w:rPr>
                <w:rFonts w:hint="eastAsia" w:ascii="仿宋_GB2312" w:hAnsi="宋体" w:eastAsia="仿宋_GB2312"/>
                <w:bCs/>
              </w:rPr>
              <w:t>级</w:t>
            </w:r>
          </w:p>
        </w:tc>
        <w:tc>
          <w:tcPr>
            <w:tcW w:w="846" w:type="dxa"/>
            <w:tcBorders>
              <w:top w:val="nil"/>
              <w:left w:val="nil"/>
              <w:bottom w:val="single" w:color="auto" w:sz="4" w:space="0"/>
              <w:right w:val="single" w:color="auto" w:sz="4" w:space="0"/>
            </w:tcBorders>
            <w:vAlign w:val="center"/>
          </w:tcPr>
          <w:p>
            <w:pPr>
              <w:spacing w:line="520" w:lineRule="exact"/>
              <w:jc w:val="center"/>
              <w:rPr>
                <w:rFonts w:hint="eastAsia" w:ascii="仿宋_GB2312" w:hAnsi="宋体" w:eastAsia="仿宋_GB2312"/>
                <w:bCs/>
              </w:rPr>
            </w:pPr>
            <w:r>
              <w:rPr>
                <w:rFonts w:eastAsia="仿宋_GB2312"/>
                <w:bCs/>
              </w:rPr>
              <w:t>8</w:t>
            </w:r>
            <w:r>
              <w:rPr>
                <w:rFonts w:hint="eastAsia" w:ascii="仿宋_GB2312" w:hAnsi="宋体" w:eastAsia="仿宋_GB2312"/>
                <w:bCs/>
              </w:rPr>
              <w:t>及至</w:t>
            </w:r>
          </w:p>
          <w:p>
            <w:pPr>
              <w:spacing w:line="520" w:lineRule="exact"/>
              <w:jc w:val="center"/>
              <w:rPr>
                <w:rFonts w:hint="eastAsia" w:ascii="仿宋_GB2312" w:hAnsi="宋体" w:eastAsia="仿宋_GB2312"/>
                <w:bCs/>
              </w:rPr>
            </w:pPr>
            <w:r>
              <w:rPr>
                <w:rFonts w:eastAsia="仿宋_GB2312"/>
                <w:bCs/>
              </w:rPr>
              <w:t>10</w:t>
            </w:r>
            <w:r>
              <w:rPr>
                <w:rFonts w:hint="eastAsia" w:ascii="仿宋_GB2312" w:hAnsi="宋体" w:eastAsia="仿宋_GB2312"/>
                <w:bCs/>
              </w:rPr>
              <w:t>级</w:t>
            </w:r>
          </w:p>
        </w:tc>
        <w:tc>
          <w:tcPr>
            <w:tcW w:w="724" w:type="dxa"/>
            <w:gridSpan w:val="2"/>
            <w:tcBorders>
              <w:top w:val="nil"/>
              <w:left w:val="nil"/>
              <w:bottom w:val="single" w:color="auto" w:sz="4" w:space="0"/>
              <w:right w:val="single" w:color="auto" w:sz="4" w:space="0"/>
            </w:tcBorders>
            <w:vAlign w:val="center"/>
          </w:tcPr>
          <w:p>
            <w:pPr>
              <w:spacing w:line="520" w:lineRule="exact"/>
              <w:jc w:val="center"/>
              <w:rPr>
                <w:rFonts w:hint="eastAsia" w:ascii="仿宋_GB2312" w:hAnsi="宋体" w:eastAsia="仿宋_GB2312"/>
                <w:bCs/>
              </w:rPr>
            </w:pPr>
            <w:r>
              <w:rPr>
                <w:rFonts w:eastAsia="仿宋_GB2312"/>
                <w:bCs/>
              </w:rPr>
              <w:t>11</w:t>
            </w:r>
            <w:r>
              <w:rPr>
                <w:rFonts w:hint="eastAsia" w:ascii="仿宋_GB2312" w:hAnsi="宋体" w:eastAsia="仿宋_GB2312"/>
                <w:bCs/>
              </w:rPr>
              <w:t>及至</w:t>
            </w:r>
          </w:p>
          <w:p>
            <w:pPr>
              <w:spacing w:line="520" w:lineRule="exact"/>
              <w:jc w:val="center"/>
              <w:rPr>
                <w:rFonts w:hint="eastAsia" w:ascii="仿宋_GB2312" w:hAnsi="宋体" w:eastAsia="仿宋_GB2312"/>
                <w:bCs/>
              </w:rPr>
            </w:pPr>
            <w:r>
              <w:rPr>
                <w:rFonts w:eastAsia="仿宋_GB2312"/>
                <w:bCs/>
              </w:rPr>
              <w:t>13</w:t>
            </w:r>
            <w:r>
              <w:rPr>
                <w:rFonts w:hint="eastAsia" w:ascii="仿宋_GB2312" w:hAnsi="宋体" w:eastAsia="仿宋_GB2312"/>
                <w:bCs/>
              </w:rPr>
              <w:t>级</w:t>
            </w:r>
          </w:p>
        </w:tc>
      </w:tr>
      <w:tr>
        <w:tblPrEx>
          <w:tblLayout w:type="fixed"/>
          <w:tblCellMar>
            <w:top w:w="0" w:type="dxa"/>
            <w:left w:w="0" w:type="dxa"/>
            <w:bottom w:w="0" w:type="dxa"/>
            <w:right w:w="0" w:type="dxa"/>
          </w:tblCellMar>
        </w:tblPrEx>
        <w:trPr>
          <w:cantSplit/>
          <w:trHeight w:val="567" w:hRule="atLeast"/>
          <w:jc w:val="center"/>
        </w:trPr>
        <w:tc>
          <w:tcPr>
            <w:tcW w:w="661" w:type="dxa"/>
            <w:tcBorders>
              <w:top w:val="single" w:color="auto" w:sz="4" w:space="0"/>
              <w:left w:val="single" w:color="auto" w:sz="4" w:space="0"/>
              <w:bottom w:val="single" w:color="auto" w:sz="4" w:space="0"/>
              <w:right w:val="single" w:color="auto" w:sz="4" w:space="0"/>
            </w:tcBorders>
            <w:vAlign w:val="center"/>
          </w:tcPr>
          <w:p>
            <w:pPr>
              <w:spacing w:line="520" w:lineRule="exact"/>
              <w:ind w:firstLine="200"/>
              <w:jc w:val="center"/>
              <w:rPr>
                <w:rFonts w:hint="eastAsia" w:ascii="仿宋_GB2312" w:hAnsi="宋体" w:eastAsia="仿宋_GB2312"/>
                <w:bCs/>
              </w:rPr>
            </w:pPr>
            <w:r>
              <w:rPr>
                <w:rFonts w:hint="eastAsia" w:ascii="仿宋_GB2312" w:hAnsi="宋体" w:eastAsia="仿宋_GB2312"/>
                <w:bCs/>
              </w:rPr>
              <w:t>人</w:t>
            </w:r>
          </w:p>
        </w:tc>
        <w:tc>
          <w:tcPr>
            <w:tcW w:w="397"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hAnsi="宋体" w:eastAsia="仿宋_GB2312"/>
                <w:bCs/>
              </w:rPr>
            </w:pPr>
            <w:r>
              <w:rPr>
                <w:rFonts w:hint="eastAsia" w:ascii="仿宋_GB2312" w:hAnsi="宋体" w:eastAsia="仿宋_GB2312"/>
                <w:bCs/>
              </w:rPr>
              <w:t>人</w:t>
            </w:r>
          </w:p>
        </w:tc>
        <w:tc>
          <w:tcPr>
            <w:tcW w:w="661" w:type="dxa"/>
            <w:tcBorders>
              <w:top w:val="single" w:color="auto" w:sz="4" w:space="0"/>
              <w:left w:val="single" w:color="auto" w:sz="4" w:space="0"/>
              <w:bottom w:val="single" w:color="auto" w:sz="4" w:space="0"/>
              <w:right w:val="single" w:color="auto" w:sz="4" w:space="0"/>
            </w:tcBorders>
            <w:vAlign w:val="center"/>
          </w:tcPr>
          <w:p>
            <w:pPr>
              <w:spacing w:line="520" w:lineRule="exact"/>
              <w:ind w:firstLine="200"/>
              <w:jc w:val="center"/>
              <w:rPr>
                <w:rFonts w:hint="eastAsia" w:ascii="仿宋_GB2312" w:hAnsi="宋体" w:eastAsia="仿宋_GB2312"/>
                <w:bCs/>
              </w:rPr>
            </w:pPr>
            <w:r>
              <w:rPr>
                <w:rFonts w:hint="eastAsia" w:ascii="仿宋_GB2312" w:hAnsi="宋体" w:eastAsia="仿宋_GB2312"/>
                <w:bCs/>
              </w:rPr>
              <w:t>人</w:t>
            </w:r>
          </w:p>
        </w:tc>
        <w:tc>
          <w:tcPr>
            <w:tcW w:w="397"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hAnsi="宋体" w:eastAsia="仿宋_GB2312"/>
                <w:bCs/>
              </w:rPr>
            </w:pPr>
            <w:r>
              <w:rPr>
                <w:rFonts w:hint="eastAsia" w:ascii="仿宋_GB2312" w:hAnsi="宋体" w:eastAsia="仿宋_GB2312"/>
                <w:bCs/>
              </w:rPr>
              <w:t>人</w:t>
            </w:r>
          </w:p>
        </w:tc>
        <w:tc>
          <w:tcPr>
            <w:tcW w:w="397"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hAnsi="宋体" w:eastAsia="仿宋_GB2312"/>
                <w:bCs/>
              </w:rPr>
            </w:pPr>
            <w:r>
              <w:rPr>
                <w:rFonts w:hint="eastAsia" w:ascii="仿宋_GB2312" w:hAnsi="宋体" w:eastAsia="仿宋_GB2312"/>
                <w:bCs/>
              </w:rPr>
              <w:t>人</w:t>
            </w:r>
          </w:p>
        </w:tc>
        <w:tc>
          <w:tcPr>
            <w:tcW w:w="661"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hAnsi="宋体" w:eastAsia="仿宋_GB2312"/>
                <w:bCs/>
              </w:rPr>
            </w:pPr>
            <w:r>
              <w:rPr>
                <w:rFonts w:hint="eastAsia" w:ascii="仿宋_GB2312" w:hAnsi="宋体" w:eastAsia="仿宋_GB2312"/>
                <w:bCs/>
              </w:rPr>
              <w:t>由学校</w:t>
            </w:r>
          </w:p>
          <w:p>
            <w:pPr>
              <w:spacing w:line="520" w:lineRule="exact"/>
              <w:jc w:val="center"/>
              <w:rPr>
                <w:rFonts w:hint="eastAsia" w:ascii="仿宋_GB2312" w:hAnsi="宋体" w:eastAsia="仿宋_GB2312"/>
                <w:bCs/>
              </w:rPr>
            </w:pPr>
            <w:r>
              <w:rPr>
                <w:rFonts w:hint="eastAsia" w:ascii="仿宋_GB2312" w:hAnsi="宋体" w:eastAsia="仿宋_GB2312"/>
              </w:rPr>
              <w:t>评聘</w:t>
            </w:r>
          </w:p>
        </w:tc>
        <w:tc>
          <w:tcPr>
            <w:tcW w:w="520" w:type="dxa"/>
            <w:tcBorders>
              <w:top w:val="single" w:color="auto" w:sz="4" w:space="0"/>
              <w:left w:val="nil"/>
              <w:bottom w:val="single" w:color="auto" w:sz="4" w:space="0"/>
              <w:right w:val="single" w:color="auto" w:sz="4" w:space="0"/>
            </w:tcBorders>
            <w:vAlign w:val="center"/>
          </w:tcPr>
          <w:p>
            <w:pPr>
              <w:spacing w:line="520" w:lineRule="exact"/>
              <w:jc w:val="center"/>
              <w:rPr>
                <w:rFonts w:hint="eastAsia" w:ascii="仿宋_GB2312" w:hAnsi="宋体" w:eastAsia="仿宋_GB2312"/>
                <w:lang w:val="en-US" w:eastAsia="zh-CN"/>
              </w:rPr>
            </w:pPr>
          </w:p>
        </w:tc>
        <w:tc>
          <w:tcPr>
            <w:tcW w:w="514" w:type="dxa"/>
            <w:tcBorders>
              <w:top w:val="single" w:color="auto" w:sz="4" w:space="0"/>
              <w:left w:val="nil"/>
              <w:bottom w:val="single" w:color="auto" w:sz="4" w:space="0"/>
              <w:right w:val="single" w:color="auto" w:sz="4" w:space="0"/>
            </w:tcBorders>
            <w:vAlign w:val="center"/>
          </w:tcPr>
          <w:p>
            <w:pPr>
              <w:spacing w:line="520" w:lineRule="exact"/>
              <w:jc w:val="center"/>
              <w:rPr>
                <w:rFonts w:hint="eastAsia" w:eastAsia="仿宋_GB2312"/>
                <w:bCs/>
                <w:lang w:val="en-US" w:eastAsia="zh-CN"/>
              </w:rPr>
            </w:pPr>
            <w:r>
              <w:rPr>
                <w:rFonts w:hint="eastAsia" w:eastAsia="仿宋_GB2312"/>
                <w:bCs/>
                <w:lang w:val="en-US" w:eastAsia="zh-CN"/>
              </w:rPr>
              <w:t>8</w:t>
            </w:r>
          </w:p>
        </w:tc>
        <w:tc>
          <w:tcPr>
            <w:tcW w:w="409" w:type="dxa"/>
            <w:tcBorders>
              <w:top w:val="single" w:color="auto" w:sz="4" w:space="0"/>
              <w:left w:val="nil"/>
              <w:bottom w:val="single" w:color="auto" w:sz="4" w:space="0"/>
              <w:right w:val="single" w:color="auto" w:sz="4" w:space="0"/>
            </w:tcBorders>
            <w:vAlign w:val="center"/>
          </w:tcPr>
          <w:p>
            <w:pPr>
              <w:spacing w:line="520" w:lineRule="exact"/>
              <w:jc w:val="center"/>
              <w:rPr>
                <w:rFonts w:hint="default" w:eastAsia="仿宋_GB2312"/>
                <w:bCs/>
                <w:lang w:val="en-US" w:eastAsia="zh-CN"/>
              </w:rPr>
            </w:pPr>
            <w:r>
              <w:rPr>
                <w:rFonts w:hint="eastAsia" w:eastAsia="仿宋_GB2312"/>
                <w:bCs/>
                <w:lang w:val="en-US" w:eastAsia="zh-CN"/>
              </w:rPr>
              <w:t>14</w:t>
            </w:r>
          </w:p>
        </w:tc>
        <w:tc>
          <w:tcPr>
            <w:tcW w:w="400" w:type="dxa"/>
            <w:tcBorders>
              <w:top w:val="single" w:color="auto" w:sz="4" w:space="0"/>
              <w:left w:val="nil"/>
              <w:bottom w:val="single" w:color="auto" w:sz="4" w:space="0"/>
              <w:right w:val="single" w:color="auto" w:sz="4" w:space="0"/>
            </w:tcBorders>
            <w:vAlign w:val="center"/>
          </w:tcPr>
          <w:p>
            <w:pPr>
              <w:spacing w:line="520" w:lineRule="exact"/>
              <w:jc w:val="center"/>
              <w:rPr>
                <w:rFonts w:hint="eastAsia" w:eastAsia="仿宋_GB2312"/>
                <w:bCs/>
                <w:lang w:val="en-US" w:eastAsia="zh-CN"/>
              </w:rPr>
            </w:pPr>
          </w:p>
        </w:tc>
        <w:tc>
          <w:tcPr>
            <w:tcW w:w="358" w:type="dxa"/>
            <w:tcBorders>
              <w:top w:val="single" w:color="auto" w:sz="4" w:space="0"/>
              <w:left w:val="nil"/>
              <w:bottom w:val="single" w:color="auto" w:sz="4" w:space="0"/>
              <w:right w:val="single" w:color="auto" w:sz="4" w:space="0"/>
            </w:tcBorders>
            <w:vAlign w:val="center"/>
          </w:tcPr>
          <w:p>
            <w:pPr>
              <w:spacing w:line="520" w:lineRule="exact"/>
              <w:jc w:val="center"/>
              <w:rPr>
                <w:rFonts w:hint="default" w:ascii="仿宋_GB2312" w:hAnsi="宋体" w:eastAsia="仿宋_GB2312"/>
                <w:bCs/>
                <w:lang w:val="en-US" w:eastAsia="zh-CN"/>
              </w:rPr>
            </w:pPr>
            <w:r>
              <w:rPr>
                <w:rFonts w:hint="eastAsia" w:ascii="仿宋_GB2312" w:hAnsi="宋体" w:eastAsia="仿宋_GB2312"/>
                <w:bCs/>
                <w:lang w:val="en-US" w:eastAsia="zh-CN"/>
              </w:rPr>
              <w:t>10</w:t>
            </w:r>
          </w:p>
        </w:tc>
        <w:tc>
          <w:tcPr>
            <w:tcW w:w="357" w:type="dxa"/>
            <w:tcBorders>
              <w:top w:val="single" w:color="auto" w:sz="4" w:space="0"/>
              <w:left w:val="nil"/>
              <w:bottom w:val="single" w:color="auto" w:sz="4" w:space="0"/>
              <w:right w:val="single" w:color="auto" w:sz="4" w:space="0"/>
            </w:tcBorders>
            <w:vAlign w:val="center"/>
          </w:tcPr>
          <w:p>
            <w:pPr>
              <w:spacing w:line="520" w:lineRule="exact"/>
              <w:jc w:val="center"/>
              <w:rPr>
                <w:rFonts w:hint="default" w:ascii="仿宋_GB2312" w:hAnsi="宋体" w:eastAsia="仿宋_GB2312"/>
                <w:bCs/>
                <w:lang w:val="en-US" w:eastAsia="zh-CN"/>
              </w:rPr>
            </w:pPr>
            <w:r>
              <w:rPr>
                <w:rFonts w:hint="eastAsia" w:ascii="仿宋_GB2312" w:hAnsi="宋体" w:eastAsia="仿宋_GB2312"/>
                <w:bCs/>
                <w:lang w:val="en-US" w:eastAsia="zh-CN"/>
              </w:rPr>
              <w:t>18</w:t>
            </w:r>
          </w:p>
        </w:tc>
        <w:tc>
          <w:tcPr>
            <w:tcW w:w="353" w:type="dxa"/>
            <w:tcBorders>
              <w:top w:val="single" w:color="auto" w:sz="4" w:space="0"/>
              <w:left w:val="nil"/>
              <w:bottom w:val="single" w:color="auto" w:sz="4" w:space="0"/>
              <w:right w:val="single" w:color="auto" w:sz="4" w:space="0"/>
            </w:tcBorders>
            <w:vAlign w:val="center"/>
          </w:tcPr>
          <w:p>
            <w:pPr>
              <w:spacing w:line="520" w:lineRule="exact"/>
              <w:jc w:val="center"/>
              <w:rPr>
                <w:rFonts w:hint="eastAsia" w:ascii="仿宋_GB2312" w:hAnsi="宋体" w:eastAsia="仿宋_GB2312"/>
                <w:bCs/>
                <w:lang w:val="en-US" w:eastAsia="zh-CN"/>
              </w:rPr>
            </w:pPr>
          </w:p>
        </w:tc>
        <w:tc>
          <w:tcPr>
            <w:tcW w:w="870" w:type="dxa"/>
            <w:tcBorders>
              <w:top w:val="single" w:color="auto" w:sz="4" w:space="0"/>
              <w:left w:val="nil"/>
              <w:bottom w:val="single" w:color="auto" w:sz="4" w:space="0"/>
              <w:right w:val="single" w:color="auto" w:sz="4" w:space="0"/>
            </w:tcBorders>
            <w:vAlign w:val="center"/>
          </w:tcPr>
          <w:p>
            <w:pPr>
              <w:spacing w:line="520" w:lineRule="exact"/>
              <w:ind w:firstLine="200"/>
              <w:jc w:val="center"/>
              <w:rPr>
                <w:rFonts w:hint="eastAsia" w:eastAsia="仿宋_GB2312"/>
                <w:bCs/>
                <w:lang w:val="en-US" w:eastAsia="zh-CN"/>
              </w:rPr>
            </w:pPr>
          </w:p>
        </w:tc>
        <w:tc>
          <w:tcPr>
            <w:tcW w:w="846" w:type="dxa"/>
            <w:tcBorders>
              <w:top w:val="single" w:color="auto" w:sz="4" w:space="0"/>
              <w:left w:val="nil"/>
              <w:bottom w:val="single" w:color="auto" w:sz="4" w:space="0"/>
              <w:right w:val="single" w:color="auto" w:sz="4" w:space="0"/>
            </w:tcBorders>
            <w:vAlign w:val="center"/>
          </w:tcPr>
          <w:p>
            <w:pPr>
              <w:spacing w:line="520" w:lineRule="exact"/>
              <w:ind w:firstLine="200"/>
              <w:jc w:val="center"/>
              <w:rPr>
                <w:rFonts w:hint="eastAsia" w:eastAsia="仿宋_GB2312"/>
                <w:bCs/>
                <w:lang w:val="en-US" w:eastAsia="zh-CN"/>
              </w:rPr>
            </w:pPr>
            <w:r>
              <w:rPr>
                <w:rFonts w:hint="eastAsia" w:eastAsia="仿宋_GB2312"/>
                <w:bCs/>
                <w:lang w:val="en-US" w:eastAsia="zh-CN"/>
              </w:rPr>
              <w:t>2</w:t>
            </w:r>
          </w:p>
        </w:tc>
        <w:tc>
          <w:tcPr>
            <w:tcW w:w="724" w:type="dxa"/>
            <w:gridSpan w:val="2"/>
            <w:tcBorders>
              <w:top w:val="single" w:color="auto" w:sz="4" w:space="0"/>
              <w:left w:val="nil"/>
              <w:bottom w:val="single" w:color="auto" w:sz="4" w:space="0"/>
              <w:right w:val="single" w:color="auto" w:sz="4" w:space="0"/>
            </w:tcBorders>
            <w:vAlign w:val="center"/>
          </w:tcPr>
          <w:p>
            <w:pPr>
              <w:spacing w:line="520" w:lineRule="exact"/>
              <w:ind w:firstLine="200"/>
              <w:jc w:val="both"/>
              <w:rPr>
                <w:rFonts w:hint="eastAsia" w:eastAsia="仿宋_GB2312"/>
                <w:bCs/>
                <w:lang w:val="en-US" w:eastAsia="zh-CN"/>
              </w:rPr>
            </w:pPr>
          </w:p>
        </w:tc>
      </w:tr>
    </w:tbl>
    <w:p>
      <w:pPr>
        <w:spacing w:before="156" w:beforeLines="50" w:line="500" w:lineRule="exact"/>
        <w:ind w:firstLine="420" w:firstLineChars="200"/>
        <w:rPr>
          <w:rFonts w:hint="eastAsia" w:ascii="仿宋_GB2312" w:hAnsi="宋体" w:eastAsia="仿宋_GB2312"/>
          <w:b/>
          <w:lang w:val="en-US" w:eastAsia="zh-CN"/>
        </w:rPr>
      </w:pPr>
      <w:r>
        <w:rPr>
          <w:rFonts w:hint="eastAsia" w:ascii="仿宋_GB2312" w:hAnsi="宋体" w:eastAsia="仿宋_GB2312"/>
        </w:rPr>
        <w:t>注：</w:t>
      </w:r>
      <w:r>
        <w:rPr>
          <w:rFonts w:hint="eastAsia" w:ascii="仿宋_GB2312" w:hAnsi="宋体" w:eastAsia="仿宋_GB2312" w:cs="宋体"/>
          <w:color w:val="000000"/>
          <w:kern w:val="0"/>
        </w:rPr>
        <w:t>管理岗位、</w:t>
      </w:r>
      <w:r>
        <w:rPr>
          <w:rFonts w:hint="eastAsia" w:ascii="仿宋_GB2312" w:hAnsi="宋体" w:eastAsia="仿宋_GB2312"/>
          <w:bCs/>
        </w:rPr>
        <w:t>专职辅导员、</w:t>
      </w:r>
      <w:r>
        <w:rPr>
          <w:rFonts w:hint="eastAsia" w:ascii="仿宋_GB2312" w:hAnsi="宋体" w:eastAsia="仿宋_GB2312"/>
        </w:rPr>
        <w:t>实验技术岗</w:t>
      </w:r>
      <w:r>
        <w:rPr>
          <w:rFonts w:hint="eastAsia" w:ascii="仿宋_GB2312" w:hAnsi="宋体" w:eastAsia="仿宋_GB2312" w:cs="宋体"/>
          <w:color w:val="000000"/>
          <w:kern w:val="0"/>
        </w:rPr>
        <w:t>中的高级岗位和正高教师岗中的</w:t>
      </w:r>
      <w:r>
        <w:rPr>
          <w:rFonts w:eastAsia="仿宋_GB2312"/>
          <w:color w:val="000000"/>
          <w:kern w:val="0"/>
        </w:rPr>
        <w:t>2</w:t>
      </w:r>
      <w:r>
        <w:rPr>
          <w:rFonts w:hint="eastAsia" w:ascii="仿宋_GB2312" w:hAnsi="宋体" w:eastAsia="仿宋_GB2312" w:cs="宋体"/>
          <w:color w:val="000000"/>
          <w:kern w:val="0"/>
        </w:rPr>
        <w:t>～</w:t>
      </w:r>
      <w:r>
        <w:rPr>
          <w:rFonts w:hint="eastAsia" w:eastAsia="仿宋_GB2312"/>
          <w:color w:val="000000"/>
          <w:kern w:val="0"/>
          <w:lang w:val="en-US" w:eastAsia="zh-CN"/>
        </w:rPr>
        <w:t>3</w:t>
      </w:r>
      <w:r>
        <w:rPr>
          <w:rFonts w:hint="eastAsia" w:ascii="仿宋_GB2312" w:hAnsi="宋体" w:eastAsia="仿宋_GB2312" w:cs="宋体"/>
          <w:color w:val="000000"/>
          <w:kern w:val="0"/>
        </w:rPr>
        <w:t>级岗位由学校统一评聘。</w:t>
      </w:r>
      <w:r>
        <w:rPr>
          <w:rFonts w:hint="eastAsia" w:ascii="仿宋_GB2312" w:hAnsi="宋体" w:eastAsia="仿宋_GB2312" w:cs="宋体"/>
          <w:color w:val="000000"/>
          <w:kern w:val="0"/>
          <w:lang w:val="en-US" w:eastAsia="zh-CN"/>
        </w:rPr>
        <w:t>专任教师岗位和其它技术岗位由学院负责评聘，相应指标由学校分配。</w:t>
      </w:r>
    </w:p>
    <w:p>
      <w:pPr>
        <w:pStyle w:val="27"/>
        <w:keepNext w:val="0"/>
        <w:keepLines w:val="0"/>
        <w:widowControl w:val="0"/>
        <w:numPr>
          <w:ilvl w:val="0"/>
          <w:numId w:val="3"/>
        </w:numPr>
        <w:ind w:left="0" w:firstLine="640"/>
      </w:pPr>
      <w:r>
        <w:rPr>
          <w:rFonts w:hint="eastAsia"/>
        </w:rPr>
        <w:t xml:space="preserve">  岗位设置标准。岗位设置以学科建设总体规划为基础，根据学科对学校整体建设的作用为依据，在岗位总量控制与结构比例控制的前提下，以国务院学位委员会颁布的二级学科为设岗基本单位，以核定的教师编制规模为岗位数计算依据。各二级学科的岗位设置应由学院（部）相应教师岗位聘用组织集体决定并上报学校审核确定。</w:t>
      </w:r>
    </w:p>
    <w:p>
      <w:pPr>
        <w:pStyle w:val="24"/>
        <w:keepNext w:val="0"/>
        <w:keepLines w:val="0"/>
        <w:numPr>
          <w:ilvl w:val="0"/>
          <w:numId w:val="2"/>
        </w:numPr>
        <w:spacing w:before="312" w:after="312" w:line="560" w:lineRule="exact"/>
        <w:rPr>
          <w:rFonts w:hAnsi="仿宋"/>
        </w:rPr>
      </w:pPr>
      <w:r>
        <w:rPr>
          <w:rFonts w:hint="eastAsia" w:hAnsi="仿宋"/>
        </w:rPr>
        <w:t>岗位职责</w:t>
      </w:r>
    </w:p>
    <w:p>
      <w:pPr>
        <w:tabs>
          <w:tab w:val="left" w:pos="540"/>
        </w:tabs>
        <w:spacing w:line="540" w:lineRule="exact"/>
        <w:ind w:firstLine="420" w:firstLineChars="200"/>
        <w:rPr>
          <w:rFonts w:eastAsia="仿宋_GB2312"/>
          <w:kern w:val="0"/>
          <w:sz w:val="32"/>
          <w:szCs w:val="32"/>
        </w:rPr>
      </w:pPr>
      <w:r>
        <w:rPr>
          <w:rFonts w:hint="eastAsia"/>
        </w:rPr>
        <w:t xml:space="preserve">  </w:t>
      </w:r>
    </w:p>
    <w:p>
      <w:pPr>
        <w:pStyle w:val="27"/>
        <w:keepNext w:val="0"/>
        <w:keepLines w:val="0"/>
        <w:widowControl w:val="0"/>
        <w:numPr>
          <w:ilvl w:val="0"/>
          <w:numId w:val="3"/>
        </w:numPr>
        <w:ind w:left="0" w:firstLine="640"/>
        <w:rPr>
          <w:rFonts w:hint="eastAsia"/>
        </w:rPr>
      </w:pPr>
      <w:r>
        <w:rPr>
          <w:rFonts w:hint="eastAsia"/>
        </w:rPr>
        <w:t xml:space="preserve">  教授四级岗位（专业技术四级岗位）主要职责</w:t>
      </w:r>
      <w:r>
        <w:rPr>
          <w:rFonts w:hint="eastAsia"/>
          <w:lang w:val="en-US" w:eastAsia="zh-CN"/>
        </w:rPr>
        <w:t>应符合相关要求</w:t>
      </w:r>
      <w:r>
        <w:rPr>
          <w:rFonts w:hint="eastAsia"/>
          <w:lang w:eastAsia="zh-CN"/>
        </w:rPr>
        <w:t>（</w:t>
      </w:r>
      <w:r>
        <w:rPr>
          <w:rFonts w:hint="eastAsia"/>
        </w:rPr>
        <w:t>具体职责要求见附件1</w:t>
      </w:r>
      <w:r>
        <w:rPr>
          <w:rFonts w:hint="eastAsia"/>
          <w:lang w:eastAsia="zh-CN"/>
        </w:rPr>
        <w:t>“</w:t>
      </w:r>
      <w:r>
        <w:rPr>
          <w:rFonts w:hint="eastAsia"/>
          <w:lang w:val="en-US" w:eastAsia="zh-CN"/>
        </w:rPr>
        <w:t>公共管理学院</w:t>
      </w:r>
      <w:r>
        <w:rPr>
          <w:rFonts w:hint="eastAsia"/>
        </w:rPr>
        <w:t>教师岗位职责要求</w:t>
      </w:r>
      <w:r>
        <w:rPr>
          <w:rFonts w:hint="eastAsia"/>
          <w:lang w:eastAsia="zh-CN"/>
        </w:rPr>
        <w:t>”）。</w:t>
      </w:r>
    </w:p>
    <w:p>
      <w:pPr>
        <w:pStyle w:val="27"/>
        <w:keepNext w:val="0"/>
        <w:keepLines w:val="0"/>
        <w:widowControl w:val="0"/>
        <w:numPr>
          <w:ilvl w:val="0"/>
          <w:numId w:val="3"/>
        </w:numPr>
        <w:ind w:left="0" w:firstLine="640"/>
        <w:rPr>
          <w:rFonts w:hint="eastAsia"/>
        </w:rPr>
      </w:pPr>
      <w:r>
        <w:rPr>
          <w:rFonts w:hint="eastAsia"/>
        </w:rPr>
        <w:t>副教授岗位（专业技术五</w:t>
      </w:r>
      <w:r>
        <w:rPr>
          <w:rFonts w:hint="eastAsia"/>
          <w:lang w:eastAsia="zh-CN"/>
        </w:rPr>
        <w:t>、</w:t>
      </w:r>
      <w:r>
        <w:rPr>
          <w:rFonts w:hint="eastAsia"/>
          <w:lang w:val="en-US" w:eastAsia="zh-CN"/>
        </w:rPr>
        <w:t>六、七</w:t>
      </w:r>
      <w:r>
        <w:rPr>
          <w:rFonts w:hint="eastAsia"/>
        </w:rPr>
        <w:t>级岗位）主要职责</w:t>
      </w:r>
      <w:r>
        <w:rPr>
          <w:rFonts w:hint="eastAsia"/>
          <w:lang w:val="en-US" w:eastAsia="zh-CN"/>
        </w:rPr>
        <w:t>应符合相关要求</w:t>
      </w:r>
      <w:r>
        <w:rPr>
          <w:rFonts w:hint="eastAsia"/>
          <w:lang w:eastAsia="zh-CN"/>
        </w:rPr>
        <w:t>（</w:t>
      </w:r>
      <w:r>
        <w:rPr>
          <w:rFonts w:hint="eastAsia"/>
        </w:rPr>
        <w:t>具体职责要求见附件1</w:t>
      </w:r>
      <w:r>
        <w:rPr>
          <w:rFonts w:hint="eastAsia"/>
          <w:lang w:eastAsia="zh-CN"/>
        </w:rPr>
        <w:t>“</w:t>
      </w:r>
      <w:r>
        <w:rPr>
          <w:rFonts w:hint="eastAsia"/>
          <w:lang w:val="en-US" w:eastAsia="zh-CN"/>
        </w:rPr>
        <w:t>公共管理学院</w:t>
      </w:r>
      <w:r>
        <w:rPr>
          <w:rFonts w:hint="eastAsia"/>
        </w:rPr>
        <w:t>教师岗位职责要</w:t>
      </w:r>
      <w:r>
        <w:rPr>
          <w:rFonts w:hint="eastAsia"/>
          <w:lang w:eastAsia="zh-CN"/>
        </w:rPr>
        <w:t>”）。</w:t>
      </w:r>
    </w:p>
    <w:p>
      <w:pPr>
        <w:pStyle w:val="27"/>
        <w:keepNext w:val="0"/>
        <w:keepLines w:val="0"/>
        <w:widowControl w:val="0"/>
        <w:numPr>
          <w:ilvl w:val="0"/>
          <w:numId w:val="3"/>
        </w:numPr>
        <w:ind w:left="0" w:firstLine="640"/>
        <w:rPr>
          <w:rFonts w:hint="eastAsia"/>
        </w:rPr>
      </w:pPr>
      <w:r>
        <w:rPr>
          <w:rFonts w:hint="eastAsia"/>
        </w:rPr>
        <w:t xml:space="preserve"> 讲师岗位（专业技术八</w:t>
      </w:r>
      <w:r>
        <w:rPr>
          <w:rFonts w:hint="eastAsia"/>
          <w:lang w:eastAsia="zh-CN"/>
        </w:rPr>
        <w:t>、</w:t>
      </w:r>
      <w:r>
        <w:rPr>
          <w:rFonts w:hint="eastAsia"/>
          <w:lang w:val="en-US" w:eastAsia="zh-CN"/>
        </w:rPr>
        <w:t>九、十</w:t>
      </w:r>
      <w:r>
        <w:rPr>
          <w:rFonts w:hint="eastAsia"/>
        </w:rPr>
        <w:t>级岗位）主要职责</w:t>
      </w:r>
      <w:r>
        <w:rPr>
          <w:rFonts w:hint="eastAsia"/>
          <w:lang w:val="en-US" w:eastAsia="zh-CN"/>
        </w:rPr>
        <w:t>应符合相关要求</w:t>
      </w:r>
      <w:r>
        <w:rPr>
          <w:rFonts w:hint="eastAsia"/>
          <w:lang w:eastAsia="zh-CN"/>
        </w:rPr>
        <w:t>（</w:t>
      </w:r>
      <w:r>
        <w:rPr>
          <w:rFonts w:hint="eastAsia"/>
        </w:rPr>
        <w:t>具体职责要求见附件1</w:t>
      </w:r>
      <w:r>
        <w:rPr>
          <w:rFonts w:hint="eastAsia"/>
          <w:lang w:eastAsia="zh-CN"/>
        </w:rPr>
        <w:t>“</w:t>
      </w:r>
      <w:r>
        <w:rPr>
          <w:rFonts w:hint="eastAsia"/>
          <w:lang w:val="en-US" w:eastAsia="zh-CN"/>
        </w:rPr>
        <w:t>公共管理学院</w:t>
      </w:r>
      <w:r>
        <w:rPr>
          <w:rFonts w:hint="eastAsia"/>
        </w:rPr>
        <w:t>教师岗位职责要</w:t>
      </w:r>
      <w:r>
        <w:rPr>
          <w:rFonts w:hint="eastAsia"/>
          <w:lang w:eastAsia="zh-CN"/>
        </w:rPr>
        <w:t>”）。</w:t>
      </w:r>
    </w:p>
    <w:p>
      <w:pPr>
        <w:pStyle w:val="27"/>
        <w:keepNext w:val="0"/>
        <w:keepLines w:val="0"/>
        <w:widowControl w:val="0"/>
        <w:numPr>
          <w:ilvl w:val="0"/>
          <w:numId w:val="0"/>
        </w:numPr>
        <w:ind w:firstLine="640" w:firstLineChars="200"/>
        <w:rPr>
          <w:rFonts w:hint="eastAsia"/>
        </w:rPr>
      </w:pPr>
      <w:r>
        <w:rPr>
          <w:rFonts w:hint="eastAsia"/>
        </w:rPr>
        <w:t>助教、教员（专业技术十一级至十三级）岗位主要职责</w:t>
      </w:r>
      <w:r>
        <w:rPr>
          <w:rFonts w:hint="eastAsia"/>
          <w:lang w:val="en-US" w:eastAsia="zh-CN"/>
        </w:rPr>
        <w:t>应符合相关要求</w:t>
      </w:r>
      <w:r>
        <w:rPr>
          <w:rFonts w:hint="eastAsia"/>
          <w:lang w:eastAsia="zh-CN"/>
        </w:rPr>
        <w:t>（</w:t>
      </w:r>
      <w:r>
        <w:rPr>
          <w:rFonts w:hint="eastAsia"/>
        </w:rPr>
        <w:t>具体职责要求见附件1</w:t>
      </w:r>
      <w:r>
        <w:rPr>
          <w:rFonts w:hint="eastAsia"/>
          <w:lang w:eastAsia="zh-CN"/>
        </w:rPr>
        <w:t>“</w:t>
      </w:r>
      <w:r>
        <w:rPr>
          <w:rFonts w:hint="eastAsia"/>
          <w:lang w:val="en-US" w:eastAsia="zh-CN"/>
        </w:rPr>
        <w:t>公共管理学院</w:t>
      </w:r>
      <w:r>
        <w:rPr>
          <w:rFonts w:hint="eastAsia"/>
        </w:rPr>
        <w:t>教师岗位职责要</w:t>
      </w:r>
      <w:r>
        <w:rPr>
          <w:rFonts w:hint="eastAsia"/>
          <w:lang w:eastAsia="zh-CN"/>
        </w:rPr>
        <w:t>”）。</w:t>
      </w:r>
    </w:p>
    <w:p>
      <w:pPr>
        <w:pStyle w:val="27"/>
        <w:keepNext w:val="0"/>
        <w:keepLines w:val="0"/>
        <w:widowControl w:val="0"/>
        <w:numPr>
          <w:ilvl w:val="0"/>
          <w:numId w:val="3"/>
        </w:numPr>
        <w:ind w:left="0" w:firstLine="640"/>
      </w:pPr>
      <w:r>
        <w:rPr>
          <w:rFonts w:hint="eastAsia"/>
        </w:rPr>
        <w:t xml:space="preserve">  教师岗位各级人员，若聘期开始时距离学校规定退休年龄不足一个聘期的，有关科研项目的岗位职责可</w:t>
      </w:r>
      <w:r>
        <w:rPr>
          <w:rFonts w:hint="eastAsia"/>
          <w:lang w:val="en-US" w:eastAsia="zh-CN"/>
        </w:rPr>
        <w:t>下</w:t>
      </w:r>
      <w:r>
        <w:rPr>
          <w:rFonts w:hint="eastAsia"/>
        </w:rPr>
        <w:t>降</w:t>
      </w:r>
      <w:r>
        <w:rPr>
          <w:rFonts w:hint="eastAsia"/>
          <w:lang w:val="en-US" w:eastAsia="zh-CN"/>
        </w:rPr>
        <w:t>一档</w:t>
      </w:r>
      <w:r>
        <w:rPr>
          <w:rFonts w:hint="eastAsia"/>
        </w:rPr>
        <w:t>要求。</w:t>
      </w:r>
    </w:p>
    <w:p>
      <w:pPr>
        <w:pStyle w:val="24"/>
        <w:keepNext w:val="0"/>
        <w:keepLines w:val="0"/>
        <w:numPr>
          <w:ilvl w:val="0"/>
          <w:numId w:val="2"/>
        </w:numPr>
        <w:spacing w:before="312" w:after="312" w:line="560" w:lineRule="exact"/>
        <w:rPr>
          <w:rFonts w:hAnsi="仿宋"/>
        </w:rPr>
      </w:pPr>
      <w:r>
        <w:rPr>
          <w:rFonts w:hint="eastAsia" w:hAnsi="仿宋"/>
        </w:rPr>
        <w:t>聘用条件</w:t>
      </w:r>
    </w:p>
    <w:p>
      <w:pPr>
        <w:pStyle w:val="27"/>
        <w:keepNext w:val="0"/>
        <w:keepLines w:val="0"/>
        <w:widowControl w:val="0"/>
        <w:numPr>
          <w:ilvl w:val="0"/>
          <w:numId w:val="3"/>
        </w:numPr>
        <w:ind w:left="0" w:firstLine="640"/>
      </w:pPr>
      <w:r>
        <w:rPr>
          <w:rFonts w:hint="eastAsia"/>
        </w:rPr>
        <w:t xml:space="preserve">  </w:t>
      </w:r>
      <w:r>
        <w:t>基本条件。遵守宪法</w:t>
      </w:r>
      <w:r>
        <w:rPr>
          <w:rFonts w:hint="eastAsia"/>
        </w:rPr>
        <w:t>、法律和学校规章制度；具有良好的思想政治素质和职业道德；治学严谨，为人师表；具有较强的教学科研组织管理能力；身体健康，能全身心投入教学、科研等工作，愿意履行规定的岗位职责并具备与履行岗位职责相适应的学术水平和创新能力；积极承担组织安排的各项工作任务，且聘期考核合格。</w:t>
      </w:r>
    </w:p>
    <w:p>
      <w:pPr>
        <w:tabs>
          <w:tab w:val="left" w:pos="540"/>
        </w:tabs>
        <w:spacing w:line="540" w:lineRule="exact"/>
        <w:ind w:firstLine="640" w:firstLineChars="200"/>
        <w:rPr>
          <w:rFonts w:eastAsia="仿宋_GB2312"/>
          <w:kern w:val="0"/>
          <w:sz w:val="32"/>
          <w:szCs w:val="32"/>
        </w:rPr>
      </w:pPr>
      <w:r>
        <w:rPr>
          <w:rFonts w:hint="eastAsia" w:eastAsia="仿宋_GB2312"/>
          <w:kern w:val="0"/>
          <w:sz w:val="32"/>
          <w:szCs w:val="32"/>
        </w:rPr>
        <w:t>申报教师岗位者应具备高等学校教师资格，尚未取得高等学校教师资格的申请者，应满足学校规定的条件，并在一年内依法取得高等学校教师资格。</w:t>
      </w:r>
    </w:p>
    <w:p>
      <w:pPr>
        <w:pStyle w:val="27"/>
        <w:keepNext w:val="0"/>
        <w:keepLines w:val="0"/>
        <w:widowControl w:val="0"/>
        <w:numPr>
          <w:ilvl w:val="0"/>
          <w:numId w:val="3"/>
        </w:numPr>
        <w:ind w:left="0" w:firstLine="640"/>
      </w:pPr>
      <w:r>
        <w:rPr>
          <w:rFonts w:hint="eastAsia"/>
        </w:rPr>
        <w:t xml:space="preserve">  资格条件。申报上一级别教师岗位须在本级别工作岗位上工作</w:t>
      </w:r>
      <w:r>
        <w:rPr>
          <w:rFonts w:ascii="Times New Roman" w:hAnsi="Times New Roman" w:cs="Times New Roman"/>
        </w:rPr>
        <w:t>4</w:t>
      </w:r>
      <w:r>
        <w:t>年以上。</w:t>
      </w:r>
      <w:r>
        <w:rPr>
          <w:rFonts w:hint="eastAsia"/>
        </w:rPr>
        <w:t>符合岗位直选条件者，可适当放宽任职年限。</w:t>
      </w:r>
    </w:p>
    <w:p>
      <w:pPr>
        <w:pStyle w:val="27"/>
        <w:keepNext w:val="0"/>
        <w:keepLines w:val="0"/>
        <w:widowControl w:val="0"/>
        <w:numPr>
          <w:ilvl w:val="0"/>
          <w:numId w:val="3"/>
        </w:numPr>
        <w:ind w:left="0" w:firstLine="640"/>
        <w:rPr>
          <w:rFonts w:hint="eastAsia" w:eastAsia="仿宋_GB2312"/>
          <w:sz w:val="32"/>
          <w:szCs w:val="32"/>
          <w:lang w:val="en-US" w:eastAsia="zh-CN"/>
        </w:rPr>
      </w:pPr>
      <w:r>
        <w:rPr>
          <w:rFonts w:hint="eastAsia"/>
        </w:rPr>
        <w:t xml:space="preserve"> </w:t>
      </w:r>
      <w:r>
        <w:rPr>
          <w:rFonts w:hint="eastAsia"/>
          <w:highlight w:val="none"/>
          <w:lang w:val="en-US" w:eastAsia="zh-CN"/>
        </w:rPr>
        <w:t>评选资格：原则上实行逐级申报。</w:t>
      </w:r>
      <w:r>
        <w:rPr>
          <w:rFonts w:hint="eastAsia"/>
          <w:highlight w:val="none"/>
        </w:rPr>
        <w:t>申报副教授一级岗位，须在副教授二级岗位上工作满4 年以上；申报副教授二级岗位，须在副教授三级岗位上工作满4年以上；申报副教授三级岗位，须取得副教授资格。申报讲师一级岗位，须在讲师二级岗位上工作满4 年以上；申报讲师二级岗位，须在讲师三级岗位上工作满4年以上；申报讲师三级岗位，须取得讲师资格</w:t>
      </w:r>
      <w:r>
        <w:rPr>
          <w:rFonts w:hint="eastAsia"/>
          <w:highlight w:val="none"/>
          <w:lang w:eastAsia="zh-CN"/>
        </w:rPr>
        <w:t>。</w:t>
      </w:r>
    </w:p>
    <w:p>
      <w:pPr>
        <w:pStyle w:val="27"/>
        <w:keepNext w:val="0"/>
        <w:keepLines w:val="0"/>
        <w:pageBreakBefore w:val="0"/>
        <w:widowControl w:val="0"/>
        <w:numPr>
          <w:ilvl w:val="0"/>
          <w:numId w:val="0"/>
        </w:numPr>
        <w:kinsoku/>
        <w:wordWrap/>
        <w:overflowPunct/>
        <w:topLinePunct w:val="0"/>
        <w:autoSpaceDE/>
        <w:autoSpaceDN/>
        <w:bidi w:val="0"/>
        <w:adjustRightInd w:val="0"/>
        <w:snapToGrid w:val="0"/>
        <w:ind w:leftChars="0" w:firstLine="640" w:firstLineChars="200"/>
        <w:textAlignment w:val="auto"/>
        <w:rPr>
          <w:rFonts w:hint="default"/>
          <w:sz w:val="32"/>
          <w:szCs w:val="32"/>
          <w:lang w:val="en-US" w:eastAsia="zh-CN"/>
        </w:rPr>
      </w:pPr>
      <w:r>
        <w:rPr>
          <w:rFonts w:hint="eastAsia"/>
          <w:highlight w:val="none"/>
          <w:lang w:val="en-US" w:eastAsia="zh-CN"/>
        </w:rPr>
        <w:t>评选条件：</w:t>
      </w:r>
      <w:r>
        <w:rPr>
          <w:rFonts w:hint="eastAsia"/>
          <w:sz w:val="32"/>
          <w:szCs w:val="32"/>
          <w:lang w:eastAsia="zh-CN"/>
        </w:rPr>
        <w:t>已聘</w:t>
      </w:r>
      <w:r>
        <w:rPr>
          <w:rFonts w:hint="eastAsia"/>
          <w:sz w:val="32"/>
          <w:szCs w:val="32"/>
          <w:lang w:val="en-US" w:eastAsia="zh-CN"/>
        </w:rPr>
        <w:t>本</w:t>
      </w:r>
      <w:r>
        <w:rPr>
          <w:rFonts w:hint="eastAsia"/>
          <w:sz w:val="32"/>
          <w:szCs w:val="32"/>
          <w:lang w:eastAsia="zh-CN"/>
        </w:rPr>
        <w:t>专业技术职务12年以上，且具备评选条件之一者；或已聘</w:t>
      </w:r>
      <w:r>
        <w:rPr>
          <w:rFonts w:hint="eastAsia"/>
          <w:sz w:val="32"/>
          <w:szCs w:val="32"/>
          <w:lang w:val="en-US" w:eastAsia="zh-CN"/>
        </w:rPr>
        <w:t>本</w:t>
      </w:r>
      <w:r>
        <w:rPr>
          <w:rFonts w:hint="eastAsia"/>
          <w:sz w:val="32"/>
          <w:szCs w:val="32"/>
          <w:lang w:eastAsia="zh-CN"/>
        </w:rPr>
        <w:t>专业技术职务8年以上，且具备评选条件之二者（要求跨二类）；或已聘</w:t>
      </w:r>
      <w:r>
        <w:rPr>
          <w:rFonts w:hint="eastAsia"/>
          <w:sz w:val="32"/>
          <w:szCs w:val="32"/>
          <w:lang w:val="en-US" w:eastAsia="zh-CN"/>
        </w:rPr>
        <w:t>本</w:t>
      </w:r>
      <w:r>
        <w:rPr>
          <w:rFonts w:hint="eastAsia"/>
          <w:sz w:val="32"/>
          <w:szCs w:val="32"/>
          <w:lang w:eastAsia="zh-CN"/>
        </w:rPr>
        <w:t>级专业技术职务4年以上，且具备评选条件之三者（要求跨三类）,可申报</w:t>
      </w:r>
      <w:r>
        <w:rPr>
          <w:rFonts w:hint="eastAsia"/>
          <w:sz w:val="32"/>
          <w:szCs w:val="32"/>
          <w:lang w:val="en-US" w:eastAsia="zh-CN"/>
        </w:rPr>
        <w:t>上一</w:t>
      </w:r>
      <w:r>
        <w:rPr>
          <w:rFonts w:hint="eastAsia"/>
          <w:sz w:val="32"/>
          <w:szCs w:val="32"/>
          <w:lang w:eastAsia="zh-CN"/>
        </w:rPr>
        <w:t>级</w:t>
      </w:r>
      <w:r>
        <w:rPr>
          <w:rFonts w:hint="eastAsia"/>
          <w:sz w:val="32"/>
          <w:szCs w:val="32"/>
          <w:lang w:val="en-US" w:eastAsia="zh-CN"/>
        </w:rPr>
        <w:t>专业技术</w:t>
      </w:r>
      <w:r>
        <w:rPr>
          <w:rFonts w:hint="eastAsia"/>
          <w:sz w:val="32"/>
          <w:szCs w:val="32"/>
          <w:lang w:eastAsia="zh-CN"/>
        </w:rPr>
        <w:t>岗位。</w:t>
      </w:r>
    </w:p>
    <w:p>
      <w:pPr>
        <w:pStyle w:val="27"/>
        <w:keepNext w:val="0"/>
        <w:keepLines w:val="0"/>
        <w:widowControl w:val="0"/>
        <w:numPr>
          <w:ilvl w:val="0"/>
          <w:numId w:val="3"/>
        </w:numPr>
        <w:ind w:left="0" w:firstLine="640"/>
        <w:rPr>
          <w:rFonts w:hint="default" w:ascii="仿宋_GB2312" w:hAnsi="Arial" w:eastAsia="仿宋_GB2312" w:cs="仿宋_GB2312"/>
          <w:b w:val="0"/>
          <w:i w:val="0"/>
          <w:caps w:val="0"/>
          <w:color w:val="000000"/>
          <w:spacing w:val="0"/>
          <w:sz w:val="28"/>
          <w:szCs w:val="28"/>
          <w:lang w:val="en-US" w:eastAsia="zh-CN"/>
        </w:rPr>
      </w:pPr>
      <w:r>
        <w:rPr>
          <w:rFonts w:hint="eastAsia"/>
        </w:rPr>
        <w:t>教师四级岗位聘用条件。</w:t>
      </w:r>
      <w:r>
        <w:rPr>
          <w:rFonts w:hint="eastAsia"/>
          <w:highlight w:val="none"/>
        </w:rPr>
        <w:t>取得正高级专业技术职务，且从事与专业技术职务相对应的专业技术工作，上一聘期考核合格的教师四级岗位人员，经本人提出申请，可在规定岗位数内按照有关规定和程序参加评选聘用到教师四级岗位。</w:t>
      </w:r>
    </w:p>
    <w:p>
      <w:pPr>
        <w:pStyle w:val="27"/>
        <w:keepNext w:val="0"/>
        <w:keepLines w:val="0"/>
        <w:widowControl w:val="0"/>
        <w:numPr>
          <w:ilvl w:val="0"/>
          <w:numId w:val="3"/>
        </w:numPr>
        <w:ind w:left="0" w:firstLine="640"/>
        <w:rPr>
          <w:rFonts w:hint="eastAsia" w:ascii="仿宋_GB2312" w:hAnsi="宋体" w:eastAsia="仿宋_GB2312"/>
          <w:spacing w:val="-6"/>
          <w:sz w:val="32"/>
          <w:szCs w:val="32"/>
          <w:lang w:val="en-US" w:eastAsia="zh-CN"/>
        </w:rPr>
      </w:pPr>
      <w:r>
        <w:rPr>
          <w:rFonts w:hint="eastAsia" w:ascii="仿宋_GB2312" w:hAnsi="宋体" w:eastAsia="仿宋_GB2312" w:cstheme="majorBidi"/>
          <w:b w:val="0"/>
          <w:bCs/>
          <w:kern w:val="0"/>
          <w:sz w:val="32"/>
          <w:szCs w:val="32"/>
          <w:lang w:val="en-US" w:eastAsia="zh-CN" w:bidi="ar-SA"/>
        </w:rPr>
        <w:t>副教授岗位评选条件</w:t>
      </w:r>
      <w:r>
        <w:rPr>
          <w:rFonts w:hint="eastAsia" w:cstheme="majorBidi"/>
          <w:b w:val="0"/>
          <w:bCs/>
          <w:kern w:val="0"/>
          <w:sz w:val="32"/>
          <w:szCs w:val="32"/>
          <w:lang w:val="en-US" w:eastAsia="zh-CN" w:bidi="ar-SA"/>
        </w:rPr>
        <w:t>：</w:t>
      </w:r>
      <w:r>
        <w:rPr>
          <w:rFonts w:hint="eastAsia" w:ascii="仿宋_GB2312" w:hAnsi="宋体" w:eastAsia="仿宋_GB2312" w:cstheme="majorBidi"/>
          <w:b w:val="0"/>
          <w:bCs/>
          <w:kern w:val="0"/>
          <w:sz w:val="32"/>
          <w:szCs w:val="32"/>
          <w:lang w:val="en-US" w:eastAsia="zh-CN" w:bidi="ar-SA"/>
        </w:rPr>
        <w:t>评选择条件包括：按照《公共管理学院教师岗位职责要求》中的项目要求和成果要求所列条件的其中之一，即为评选条件之一。</w:t>
      </w:r>
    </w:p>
    <w:p>
      <w:pPr>
        <w:pStyle w:val="27"/>
        <w:keepNext w:val="0"/>
        <w:keepLines w:val="0"/>
        <w:widowControl w:val="0"/>
        <w:numPr>
          <w:ilvl w:val="0"/>
          <w:numId w:val="3"/>
        </w:numPr>
        <w:ind w:left="0" w:firstLine="640"/>
        <w:rPr>
          <w:rFonts w:hint="eastAsia" w:ascii="仿宋_GB2312" w:hAnsi="宋体" w:eastAsia="仿宋_GB2312"/>
          <w:spacing w:val="-6"/>
          <w:sz w:val="32"/>
          <w:szCs w:val="32"/>
          <w:lang w:val="en-US" w:eastAsia="zh-CN"/>
        </w:rPr>
      </w:pPr>
      <w:r>
        <w:rPr>
          <w:rFonts w:hint="eastAsia" w:ascii="仿宋_GB2312" w:hAnsi="宋体" w:eastAsia="仿宋_GB2312" w:cstheme="majorBidi"/>
          <w:b w:val="0"/>
          <w:bCs/>
          <w:kern w:val="0"/>
          <w:sz w:val="32"/>
          <w:szCs w:val="32"/>
          <w:lang w:val="en-US" w:eastAsia="zh-CN" w:bidi="ar-SA"/>
        </w:rPr>
        <w:t>教师七级岗位聘用条件。取得副高级专业技术资格，且从事与专业技术职务相对应的专业技术工作，上一聘期考核合格的教师七级岗位人员，经本人提出申请，可在规定岗位数内按照有关规定和程序参加评选聘用到教师七级岗位。取得副教授资格的教师原则上第一个聘期可直接聘用到教师七级岗位。</w:t>
      </w:r>
    </w:p>
    <w:p>
      <w:pPr>
        <w:pStyle w:val="27"/>
        <w:keepNext w:val="0"/>
        <w:keepLines w:val="0"/>
        <w:widowControl w:val="0"/>
        <w:numPr>
          <w:ilvl w:val="0"/>
          <w:numId w:val="3"/>
        </w:numPr>
        <w:ind w:left="0" w:firstLine="640"/>
        <w:rPr>
          <w:rFonts w:hint="default" w:ascii="仿宋_GB2312" w:hAnsi="宋体" w:eastAsia="仿宋_GB2312"/>
          <w:spacing w:val="-6"/>
          <w:sz w:val="32"/>
          <w:szCs w:val="32"/>
          <w:lang w:val="en-US" w:eastAsia="zh-CN"/>
        </w:rPr>
      </w:pPr>
      <w:r>
        <w:rPr>
          <w:rFonts w:hint="eastAsia" w:ascii="仿宋_GB2312" w:hAnsi="宋体" w:eastAsia="仿宋_GB2312"/>
          <w:spacing w:val="-6"/>
          <w:sz w:val="32"/>
          <w:szCs w:val="32"/>
          <w:lang w:val="en-US" w:eastAsia="zh-CN"/>
        </w:rPr>
        <w:t>讲师岗位评选条件</w:t>
      </w:r>
      <w:r>
        <w:rPr>
          <w:rFonts w:hint="eastAsia"/>
          <w:spacing w:val="-6"/>
          <w:sz w:val="32"/>
          <w:szCs w:val="32"/>
          <w:lang w:val="en-US" w:eastAsia="zh-CN"/>
        </w:rPr>
        <w:t>：</w:t>
      </w:r>
      <w:r>
        <w:rPr>
          <w:rFonts w:hint="eastAsia" w:ascii="仿宋_GB2312" w:hAnsi="宋体" w:eastAsia="仿宋_GB2312" w:cstheme="majorBidi"/>
          <w:b w:val="0"/>
          <w:bCs/>
          <w:kern w:val="0"/>
          <w:sz w:val="32"/>
          <w:szCs w:val="32"/>
          <w:lang w:val="en-US" w:eastAsia="zh-CN" w:bidi="ar-SA"/>
        </w:rPr>
        <w:t>评选择条件包括：按照《公共管理学院教师岗位职责要求》中的项目要求和成果要求所列条件的其中之一，即为评选条件之一。</w:t>
      </w:r>
    </w:p>
    <w:p>
      <w:pPr>
        <w:pStyle w:val="27"/>
        <w:keepNext w:val="0"/>
        <w:keepLines w:val="0"/>
        <w:widowControl w:val="0"/>
        <w:numPr>
          <w:ilvl w:val="0"/>
          <w:numId w:val="3"/>
        </w:numPr>
        <w:ind w:left="0" w:firstLine="640"/>
        <w:rPr>
          <w:rFonts w:hint="default" w:ascii="仿宋_GB2312" w:hAnsi="宋体" w:eastAsia="仿宋_GB2312"/>
          <w:spacing w:val="-6"/>
          <w:sz w:val="32"/>
          <w:szCs w:val="32"/>
          <w:lang w:val="en-US" w:eastAsia="zh-CN"/>
        </w:rPr>
      </w:pPr>
      <w:r>
        <w:rPr>
          <w:rFonts w:hint="eastAsia" w:ascii="仿宋_GB2312" w:hAnsi="宋体" w:eastAsia="仿宋_GB2312"/>
          <w:spacing w:val="-6"/>
          <w:sz w:val="32"/>
          <w:szCs w:val="32"/>
          <w:lang w:val="en-US" w:eastAsia="zh-CN"/>
        </w:rPr>
        <w:t>教师十级岗评选条件</w:t>
      </w:r>
      <w:r>
        <w:rPr>
          <w:rFonts w:hint="eastAsia"/>
          <w:spacing w:val="-6"/>
          <w:sz w:val="32"/>
          <w:szCs w:val="32"/>
          <w:lang w:val="en-US" w:eastAsia="zh-CN"/>
        </w:rPr>
        <w:t>。</w:t>
      </w:r>
      <w:r>
        <w:rPr>
          <w:rFonts w:hint="eastAsia" w:ascii="仿宋_GB2312" w:hAnsi="宋体" w:eastAsia="仿宋_GB2312" w:cstheme="majorBidi"/>
          <w:b w:val="0"/>
          <w:bCs/>
          <w:kern w:val="0"/>
          <w:sz w:val="32"/>
          <w:szCs w:val="32"/>
          <w:lang w:val="en-US" w:eastAsia="zh-CN" w:bidi="ar-SA"/>
        </w:rPr>
        <w:t>取得</w:t>
      </w:r>
      <w:r>
        <w:rPr>
          <w:rFonts w:hint="eastAsia" w:cstheme="majorBidi"/>
          <w:b w:val="0"/>
          <w:bCs/>
          <w:kern w:val="0"/>
          <w:sz w:val="32"/>
          <w:szCs w:val="32"/>
          <w:lang w:val="en-US" w:eastAsia="zh-CN" w:bidi="ar-SA"/>
        </w:rPr>
        <w:t>讲师</w:t>
      </w:r>
      <w:r>
        <w:rPr>
          <w:rFonts w:hint="eastAsia" w:ascii="仿宋_GB2312" w:hAnsi="宋体" w:eastAsia="仿宋_GB2312" w:cstheme="majorBidi"/>
          <w:b w:val="0"/>
          <w:bCs/>
          <w:kern w:val="0"/>
          <w:sz w:val="32"/>
          <w:szCs w:val="32"/>
          <w:lang w:val="en-US" w:eastAsia="zh-CN" w:bidi="ar-SA"/>
        </w:rPr>
        <w:t>专业技术资格，且从事与专业技术职务相对应的专业技术工作，上一聘期考核合格的教师</w:t>
      </w:r>
      <w:r>
        <w:rPr>
          <w:rFonts w:hint="eastAsia" w:cstheme="majorBidi"/>
          <w:b w:val="0"/>
          <w:bCs/>
          <w:kern w:val="0"/>
          <w:sz w:val="32"/>
          <w:szCs w:val="32"/>
          <w:lang w:val="en-US" w:eastAsia="zh-CN" w:bidi="ar-SA"/>
        </w:rPr>
        <w:t>十</w:t>
      </w:r>
      <w:r>
        <w:rPr>
          <w:rFonts w:hint="eastAsia" w:ascii="仿宋_GB2312" w:hAnsi="宋体" w:eastAsia="仿宋_GB2312" w:cstheme="majorBidi"/>
          <w:b w:val="0"/>
          <w:bCs/>
          <w:kern w:val="0"/>
          <w:sz w:val="32"/>
          <w:szCs w:val="32"/>
          <w:lang w:val="en-US" w:eastAsia="zh-CN" w:bidi="ar-SA"/>
        </w:rPr>
        <w:t>级岗位人员，经本人提出申请，可在规定岗位数内按照有关规定和程序参加评选聘用到教师</w:t>
      </w:r>
      <w:r>
        <w:rPr>
          <w:rFonts w:hint="eastAsia" w:cstheme="majorBidi"/>
          <w:b w:val="0"/>
          <w:bCs/>
          <w:kern w:val="0"/>
          <w:sz w:val="32"/>
          <w:szCs w:val="32"/>
          <w:lang w:val="en-US" w:eastAsia="zh-CN" w:bidi="ar-SA"/>
        </w:rPr>
        <w:t>十</w:t>
      </w:r>
      <w:r>
        <w:rPr>
          <w:rFonts w:hint="eastAsia" w:ascii="仿宋_GB2312" w:hAnsi="宋体" w:eastAsia="仿宋_GB2312" w:cstheme="majorBidi"/>
          <w:b w:val="0"/>
          <w:bCs/>
          <w:kern w:val="0"/>
          <w:sz w:val="32"/>
          <w:szCs w:val="32"/>
          <w:lang w:val="en-US" w:eastAsia="zh-CN" w:bidi="ar-SA"/>
        </w:rPr>
        <w:t>级岗位。取得</w:t>
      </w:r>
      <w:r>
        <w:rPr>
          <w:rFonts w:hint="eastAsia" w:cstheme="majorBidi"/>
          <w:b w:val="0"/>
          <w:bCs/>
          <w:kern w:val="0"/>
          <w:sz w:val="32"/>
          <w:szCs w:val="32"/>
          <w:lang w:val="en-US" w:eastAsia="zh-CN" w:bidi="ar-SA"/>
        </w:rPr>
        <w:t>讲师</w:t>
      </w:r>
      <w:r>
        <w:rPr>
          <w:rFonts w:hint="eastAsia" w:ascii="仿宋_GB2312" w:hAnsi="宋体" w:eastAsia="仿宋_GB2312" w:cstheme="majorBidi"/>
          <w:b w:val="0"/>
          <w:bCs/>
          <w:kern w:val="0"/>
          <w:sz w:val="32"/>
          <w:szCs w:val="32"/>
          <w:lang w:val="en-US" w:eastAsia="zh-CN" w:bidi="ar-SA"/>
        </w:rPr>
        <w:t>资格的教师原则上第一个聘期可直接聘用到教师</w:t>
      </w:r>
      <w:r>
        <w:rPr>
          <w:rFonts w:hint="eastAsia" w:cstheme="majorBidi"/>
          <w:b w:val="0"/>
          <w:bCs/>
          <w:kern w:val="0"/>
          <w:sz w:val="32"/>
          <w:szCs w:val="32"/>
          <w:lang w:val="en-US" w:eastAsia="zh-CN" w:bidi="ar-SA"/>
        </w:rPr>
        <w:t>十</w:t>
      </w:r>
      <w:r>
        <w:rPr>
          <w:rFonts w:hint="eastAsia" w:ascii="仿宋_GB2312" w:hAnsi="宋体" w:eastAsia="仿宋_GB2312" w:cstheme="majorBidi"/>
          <w:b w:val="0"/>
          <w:bCs/>
          <w:kern w:val="0"/>
          <w:sz w:val="32"/>
          <w:szCs w:val="32"/>
          <w:lang w:val="en-US" w:eastAsia="zh-CN" w:bidi="ar-SA"/>
        </w:rPr>
        <w:t>级岗位。</w:t>
      </w:r>
    </w:p>
    <w:p>
      <w:pPr>
        <w:pStyle w:val="24"/>
        <w:keepNext w:val="0"/>
        <w:keepLines w:val="0"/>
        <w:numPr>
          <w:ilvl w:val="0"/>
          <w:numId w:val="2"/>
        </w:numPr>
        <w:spacing w:before="312" w:after="312" w:line="560" w:lineRule="exact"/>
        <w:rPr>
          <w:rFonts w:hAnsi="仿宋"/>
        </w:rPr>
      </w:pPr>
      <w:r>
        <w:rPr>
          <w:rFonts w:hint="eastAsia" w:hAnsi="仿宋"/>
        </w:rPr>
        <w:t>岗位聘用与管理</w:t>
      </w:r>
    </w:p>
    <w:p>
      <w:pPr>
        <w:spacing w:before="312" w:beforeLines="100" w:after="312" w:afterLines="100" w:line="480" w:lineRule="exact"/>
        <w:jc w:val="both"/>
        <w:rPr>
          <w:rFonts w:hint="eastAsia"/>
        </w:rPr>
      </w:pPr>
      <w:r>
        <w:rPr>
          <w:rFonts w:hint="eastAsia"/>
        </w:rPr>
        <w:t xml:space="preserve"> </w:t>
      </w:r>
    </w:p>
    <w:p>
      <w:pPr>
        <w:pStyle w:val="27"/>
        <w:keepNext w:val="0"/>
        <w:keepLines w:val="0"/>
        <w:widowControl w:val="0"/>
        <w:numPr>
          <w:ilvl w:val="0"/>
          <w:numId w:val="3"/>
        </w:numPr>
        <w:ind w:left="0" w:firstLine="640"/>
        <w:rPr>
          <w:rFonts w:hint="eastAsia" w:cs="宋体"/>
          <w:b w:val="0"/>
          <w:bCs w:val="0"/>
          <w:color w:val="000000"/>
          <w:kern w:val="0"/>
          <w:sz w:val="32"/>
          <w:szCs w:val="32"/>
          <w:lang w:val="en-US" w:eastAsia="zh-CN"/>
        </w:rPr>
      </w:pPr>
      <w:r>
        <w:rPr>
          <w:rFonts w:hint="eastAsia" w:ascii="仿宋_GB2312" w:hAnsi="宋体" w:eastAsia="仿宋_GB2312" w:cs="宋体"/>
          <w:b/>
          <w:color w:val="000000"/>
          <w:kern w:val="0"/>
          <w:sz w:val="32"/>
          <w:szCs w:val="32"/>
          <w:lang w:val="en-US" w:eastAsia="zh-CN"/>
        </w:rPr>
        <w:t xml:space="preserve"> </w:t>
      </w:r>
      <w:r>
        <w:rPr>
          <w:rFonts w:hint="eastAsia" w:ascii="仿宋_GB2312" w:hAnsi="宋体" w:eastAsia="仿宋_GB2312" w:cs="宋体"/>
          <w:b w:val="0"/>
          <w:bCs w:val="0"/>
          <w:color w:val="000000"/>
          <w:kern w:val="0"/>
          <w:sz w:val="32"/>
          <w:szCs w:val="32"/>
          <w:lang w:val="en-US" w:eastAsia="zh-CN"/>
        </w:rPr>
        <w:t>学院成立岗位设置管理和人员聘用工作领导小组，工作领导小组成员由学院领导班子成员、系主任、院办主任等组成，学院院长任组长，党委书记任副组长，秘书由办公室主任兼任。领</w:t>
      </w:r>
      <w:r>
        <w:rPr>
          <w:rFonts w:hint="eastAsia" w:cs="宋体"/>
          <w:b w:val="0"/>
          <w:bCs w:val="0"/>
          <w:color w:val="000000"/>
          <w:kern w:val="0"/>
          <w:sz w:val="32"/>
          <w:szCs w:val="32"/>
          <w:lang w:val="en-US" w:eastAsia="zh-CN"/>
        </w:rPr>
        <w:t>导小组负责全院教职员工的聘用与管理工作。下设公共管理学院教职员工聘用委员会，负责教师等级评选及聘用等评审工作。学院教职员工聘用委员会由学院岗位设置与聘用工作领导小组成员等组成。</w:t>
      </w:r>
    </w:p>
    <w:p>
      <w:pPr>
        <w:pStyle w:val="27"/>
        <w:keepNext w:val="0"/>
        <w:keepLines w:val="0"/>
        <w:widowControl w:val="0"/>
        <w:numPr>
          <w:ilvl w:val="0"/>
          <w:numId w:val="3"/>
        </w:numPr>
        <w:ind w:left="0" w:firstLine="640"/>
        <w:rPr>
          <w:rFonts w:hint="eastAsia" w:ascii="仿宋_GB2312" w:hAnsi="宋体" w:eastAsia="仿宋_GB2312" w:cs="宋体"/>
          <w:b/>
          <w:color w:val="000000"/>
          <w:kern w:val="0"/>
          <w:sz w:val="32"/>
          <w:szCs w:val="32"/>
          <w:lang w:val="en-US" w:eastAsia="zh-CN"/>
        </w:rPr>
      </w:pPr>
      <w:r>
        <w:rPr>
          <w:rFonts w:hint="eastAsia" w:ascii="仿宋_GB2312" w:hAnsi="宋体" w:eastAsia="仿宋_GB2312" w:cs="宋体"/>
          <w:b w:val="0"/>
          <w:bCs w:val="0"/>
          <w:color w:val="000000"/>
          <w:kern w:val="0"/>
          <w:sz w:val="32"/>
          <w:szCs w:val="32"/>
          <w:lang w:val="en-US" w:eastAsia="zh-CN"/>
        </w:rPr>
        <w:t>学院岗位设置与聘用工作</w:t>
      </w:r>
      <w:r>
        <w:rPr>
          <w:rFonts w:hint="eastAsia" w:cs="宋体"/>
          <w:b w:val="0"/>
          <w:bCs w:val="0"/>
          <w:color w:val="000000"/>
          <w:kern w:val="0"/>
          <w:sz w:val="32"/>
          <w:szCs w:val="32"/>
          <w:lang w:val="en-US" w:eastAsia="zh-CN"/>
        </w:rPr>
        <w:t>领导</w:t>
      </w:r>
      <w:r>
        <w:rPr>
          <w:rFonts w:hint="eastAsia" w:ascii="仿宋_GB2312" w:hAnsi="宋体" w:eastAsia="仿宋_GB2312" w:cs="宋体"/>
          <w:b w:val="0"/>
          <w:bCs w:val="0"/>
          <w:color w:val="000000"/>
          <w:kern w:val="0"/>
          <w:sz w:val="32"/>
          <w:szCs w:val="32"/>
          <w:lang w:val="en-US" w:eastAsia="zh-CN"/>
        </w:rPr>
        <w:t xml:space="preserve">小组职责：在学校核定的专业技术岗位总量和结构比例内，按照岗位设置实施方案，遵循公开招聘、平等竞争、择优聘用的原则开展岗位聘用工作。负责学院专业技术岗位设置和条件的拟定以及人选的遴选，并报学校审议、备案。 </w:t>
      </w:r>
    </w:p>
    <w:p>
      <w:pPr>
        <w:pStyle w:val="27"/>
        <w:keepNext w:val="0"/>
        <w:keepLines w:val="0"/>
        <w:widowControl w:val="0"/>
        <w:numPr>
          <w:ilvl w:val="0"/>
          <w:numId w:val="3"/>
        </w:numPr>
        <w:ind w:left="0" w:firstLine="640"/>
        <w:rPr>
          <w:rFonts w:hint="eastAsia" w:ascii="仿宋_GB2312" w:eastAsia="仿宋_GB2312"/>
          <w:b/>
          <w:sz w:val="32"/>
          <w:szCs w:val="32"/>
        </w:rPr>
      </w:pPr>
      <w:r>
        <w:rPr>
          <w:rFonts w:hint="eastAsia" w:ascii="仿宋_GB2312" w:hAnsi="宋体" w:eastAsia="仿宋_GB2312" w:cs="宋体"/>
          <w:b w:val="0"/>
          <w:bCs w:val="0"/>
          <w:color w:val="000000"/>
          <w:kern w:val="0"/>
          <w:sz w:val="32"/>
          <w:szCs w:val="32"/>
          <w:lang w:val="en-US" w:eastAsia="zh-CN"/>
        </w:rPr>
        <w:t>正高四级评选办法</w:t>
      </w:r>
      <w:r>
        <w:rPr>
          <w:rFonts w:hint="eastAsia" w:cs="宋体"/>
          <w:b w:val="0"/>
          <w:bCs w:val="0"/>
          <w:color w:val="000000"/>
          <w:kern w:val="0"/>
          <w:sz w:val="32"/>
          <w:szCs w:val="32"/>
          <w:lang w:val="en-US" w:eastAsia="zh-CN"/>
        </w:rPr>
        <w:t>：</w:t>
      </w:r>
      <w:r>
        <w:rPr>
          <w:rFonts w:hint="eastAsia" w:ascii="仿宋_GB2312" w:hAnsi="宋体" w:eastAsia="仿宋_GB2312" w:cs="宋体"/>
          <w:b w:val="0"/>
          <w:bCs w:val="0"/>
          <w:color w:val="000000"/>
          <w:kern w:val="0"/>
          <w:sz w:val="32"/>
          <w:szCs w:val="32"/>
          <w:lang w:val="en-US" w:eastAsia="zh-CN"/>
        </w:rPr>
        <w:t>符合四级教授职责条件和评选条件，自动申报四级；如果存在名额限制，</w:t>
      </w:r>
      <w:r>
        <w:rPr>
          <w:rFonts w:hint="eastAsia" w:cs="宋体"/>
          <w:b w:val="0"/>
          <w:bCs w:val="0"/>
          <w:color w:val="000000"/>
          <w:kern w:val="0"/>
          <w:sz w:val="32"/>
          <w:szCs w:val="32"/>
          <w:lang w:val="en-US" w:eastAsia="zh-CN"/>
        </w:rPr>
        <w:t>由</w:t>
      </w:r>
      <w:r>
        <w:rPr>
          <w:rFonts w:hint="eastAsia" w:cs="宋体"/>
          <w:b w:val="0"/>
          <w:bCs w:val="0"/>
          <w:color w:val="000000"/>
          <w:kern w:val="0"/>
          <w:sz w:val="32"/>
          <w:szCs w:val="32"/>
          <w:lang w:val="en-US" w:eastAsia="zh-CN" w:bidi="ar-SA"/>
        </w:rPr>
        <w:t>学院</w:t>
      </w:r>
      <w:r>
        <w:rPr>
          <w:rFonts w:hint="eastAsia" w:ascii="仿宋_GB2312" w:hAnsi="宋体" w:eastAsia="仿宋_GB2312" w:cs="宋体"/>
          <w:b w:val="0"/>
          <w:bCs w:val="0"/>
          <w:color w:val="000000"/>
          <w:kern w:val="0"/>
          <w:sz w:val="32"/>
          <w:szCs w:val="32"/>
          <w:lang w:val="en-US" w:eastAsia="zh-CN" w:bidi="ar-SA"/>
        </w:rPr>
        <w:t>教职员工聘用委员会</w:t>
      </w:r>
      <w:r>
        <w:rPr>
          <w:rFonts w:hint="eastAsia" w:ascii="仿宋_GB2312" w:hAnsi="宋体" w:eastAsia="仿宋_GB2312" w:cs="宋体"/>
          <w:b w:val="0"/>
          <w:bCs w:val="0"/>
          <w:color w:val="000000"/>
          <w:kern w:val="0"/>
          <w:sz w:val="32"/>
          <w:szCs w:val="32"/>
          <w:lang w:val="en-US" w:eastAsia="zh-CN"/>
        </w:rPr>
        <w:t>根据任职年限、上一个聘期项目、成果和教学等条件来投票确定顺序。</w:t>
      </w:r>
    </w:p>
    <w:p>
      <w:pPr>
        <w:pStyle w:val="27"/>
        <w:keepNext w:val="0"/>
        <w:keepLines w:val="0"/>
        <w:widowControl w:val="0"/>
        <w:numPr>
          <w:ilvl w:val="0"/>
          <w:numId w:val="3"/>
        </w:numPr>
        <w:ind w:left="0" w:firstLine="640"/>
        <w:rPr>
          <w:rFonts w:hint="eastAsia" w:ascii="仿宋_GB2312" w:eastAsia="仿宋_GB2312"/>
          <w:b/>
          <w:sz w:val="32"/>
          <w:szCs w:val="32"/>
        </w:rPr>
      </w:pPr>
      <w:r>
        <w:rPr>
          <w:rFonts w:hint="eastAsia" w:ascii="仿宋_GB2312" w:hAnsi="宋体" w:eastAsia="仿宋_GB2312" w:cs="宋体"/>
          <w:b w:val="0"/>
          <w:bCs w:val="0"/>
          <w:color w:val="000000"/>
          <w:kern w:val="0"/>
          <w:sz w:val="32"/>
          <w:szCs w:val="32"/>
          <w:lang w:val="en-US" w:eastAsia="zh-CN" w:bidi="ar-SA"/>
        </w:rPr>
        <w:t>副高岗位具体评选办法：</w:t>
      </w:r>
      <w:r>
        <w:rPr>
          <w:rFonts w:hint="eastAsia" w:cs="宋体"/>
          <w:b w:val="0"/>
          <w:bCs w:val="0"/>
          <w:color w:val="000000"/>
          <w:kern w:val="0"/>
          <w:sz w:val="32"/>
          <w:szCs w:val="32"/>
          <w:lang w:val="en-US" w:eastAsia="zh-CN" w:bidi="ar-SA"/>
        </w:rPr>
        <w:t>符合副高岗位</w:t>
      </w:r>
      <w:r>
        <w:rPr>
          <w:rFonts w:hint="eastAsia" w:ascii="仿宋_GB2312" w:hAnsi="宋体" w:eastAsia="仿宋_GB2312" w:cs="宋体"/>
          <w:b w:val="0"/>
          <w:bCs w:val="0"/>
          <w:color w:val="000000"/>
          <w:kern w:val="0"/>
          <w:sz w:val="32"/>
          <w:szCs w:val="32"/>
          <w:lang w:val="en-US" w:eastAsia="zh-CN"/>
        </w:rPr>
        <w:t>职责条件和评选条件</w:t>
      </w:r>
      <w:r>
        <w:rPr>
          <w:rFonts w:hint="eastAsia" w:cs="宋体"/>
          <w:b w:val="0"/>
          <w:bCs w:val="0"/>
          <w:color w:val="000000"/>
          <w:kern w:val="0"/>
          <w:sz w:val="32"/>
          <w:szCs w:val="32"/>
          <w:lang w:val="en-US" w:eastAsia="zh-CN" w:bidi="ar-SA"/>
        </w:rPr>
        <w:t>的教师可以申报相应岗位。学院</w:t>
      </w:r>
      <w:r>
        <w:rPr>
          <w:rFonts w:hint="eastAsia" w:ascii="仿宋_GB2312" w:hAnsi="宋体" w:eastAsia="仿宋_GB2312" w:cs="宋体"/>
          <w:b w:val="0"/>
          <w:bCs w:val="0"/>
          <w:color w:val="000000"/>
          <w:kern w:val="0"/>
          <w:sz w:val="32"/>
          <w:szCs w:val="32"/>
          <w:lang w:val="en-US" w:eastAsia="zh-CN" w:bidi="ar-SA"/>
        </w:rPr>
        <w:t>聘用</w:t>
      </w:r>
      <w:r>
        <w:rPr>
          <w:rFonts w:hint="eastAsia" w:cs="宋体"/>
          <w:b w:val="0"/>
          <w:bCs w:val="0"/>
          <w:color w:val="000000"/>
          <w:kern w:val="0"/>
          <w:sz w:val="32"/>
          <w:szCs w:val="32"/>
          <w:lang w:val="en-US" w:eastAsia="zh-CN" w:bidi="ar-SA"/>
        </w:rPr>
        <w:t>委员会根据申请</w:t>
      </w:r>
      <w:r>
        <w:rPr>
          <w:rFonts w:hint="eastAsia" w:ascii="仿宋_GB2312" w:hAnsi="宋体" w:eastAsia="仿宋_GB2312" w:cs="宋体"/>
          <w:b w:val="0"/>
          <w:bCs w:val="0"/>
          <w:color w:val="000000"/>
          <w:kern w:val="0"/>
          <w:sz w:val="32"/>
          <w:szCs w:val="32"/>
          <w:lang w:val="en-US" w:eastAsia="zh-CN" w:bidi="ar-SA"/>
        </w:rPr>
        <w:t>人</w:t>
      </w:r>
      <w:r>
        <w:rPr>
          <w:rFonts w:hint="eastAsia" w:cs="宋体"/>
          <w:b w:val="0"/>
          <w:bCs w:val="0"/>
          <w:color w:val="000000"/>
          <w:kern w:val="0"/>
          <w:sz w:val="32"/>
          <w:szCs w:val="32"/>
          <w:lang w:val="en-US" w:eastAsia="zh-CN" w:bidi="ar-SA"/>
        </w:rPr>
        <w:t>任职期限、项目、成果和教学</w:t>
      </w:r>
      <w:r>
        <w:rPr>
          <w:rFonts w:hint="eastAsia" w:ascii="仿宋_GB2312" w:hAnsi="宋体" w:eastAsia="仿宋_GB2312" w:cs="宋体"/>
          <w:b w:val="0"/>
          <w:bCs w:val="0"/>
          <w:color w:val="000000"/>
          <w:kern w:val="0"/>
          <w:sz w:val="32"/>
          <w:szCs w:val="32"/>
          <w:lang w:val="en-US" w:eastAsia="zh-CN" w:bidi="ar-SA"/>
        </w:rPr>
        <w:t>等情况，</w:t>
      </w:r>
      <w:r>
        <w:rPr>
          <w:rFonts w:hint="eastAsia" w:cs="宋体"/>
          <w:b w:val="0"/>
          <w:bCs w:val="0"/>
          <w:color w:val="000000"/>
          <w:kern w:val="0"/>
          <w:sz w:val="32"/>
          <w:szCs w:val="32"/>
          <w:lang w:val="en-US" w:eastAsia="zh-CN" w:bidi="ar-SA"/>
        </w:rPr>
        <w:t>在</w:t>
      </w:r>
      <w:r>
        <w:rPr>
          <w:rFonts w:hint="eastAsia" w:ascii="仿宋_GB2312" w:hAnsi="宋体" w:eastAsia="仿宋_GB2312" w:cs="宋体"/>
          <w:b w:val="0"/>
          <w:bCs w:val="0"/>
          <w:color w:val="000000"/>
          <w:kern w:val="0"/>
          <w:sz w:val="32"/>
          <w:szCs w:val="32"/>
          <w:lang w:val="en-US" w:eastAsia="zh-CN" w:bidi="ar-SA"/>
        </w:rPr>
        <w:t>学校核定的</w:t>
      </w:r>
      <w:r>
        <w:rPr>
          <w:rFonts w:hint="eastAsia" w:cs="宋体"/>
          <w:b w:val="0"/>
          <w:bCs w:val="0"/>
          <w:color w:val="000000"/>
          <w:kern w:val="0"/>
          <w:sz w:val="32"/>
          <w:szCs w:val="32"/>
          <w:lang w:val="en-US" w:eastAsia="zh-CN" w:bidi="ar-SA"/>
        </w:rPr>
        <w:t>副教授</w:t>
      </w:r>
      <w:r>
        <w:rPr>
          <w:rFonts w:hint="eastAsia" w:ascii="仿宋_GB2312" w:hAnsi="宋体" w:eastAsia="仿宋_GB2312" w:cs="宋体"/>
          <w:b w:val="0"/>
          <w:bCs w:val="0"/>
          <w:color w:val="000000"/>
          <w:kern w:val="0"/>
          <w:sz w:val="32"/>
          <w:szCs w:val="32"/>
          <w:lang w:val="en-US" w:eastAsia="zh-CN" w:bidi="ar-SA"/>
        </w:rPr>
        <w:t>岗位职数</w:t>
      </w:r>
      <w:r>
        <w:rPr>
          <w:rFonts w:hint="eastAsia" w:cs="宋体"/>
          <w:b w:val="0"/>
          <w:bCs w:val="0"/>
          <w:color w:val="000000"/>
          <w:kern w:val="0"/>
          <w:sz w:val="32"/>
          <w:szCs w:val="32"/>
          <w:lang w:val="en-US" w:eastAsia="zh-CN" w:bidi="ar-SA"/>
        </w:rPr>
        <w:t>范围内，</w:t>
      </w:r>
      <w:r>
        <w:rPr>
          <w:rFonts w:hint="eastAsia" w:ascii="仿宋_GB2312" w:hAnsi="宋体" w:eastAsia="仿宋_GB2312" w:cs="宋体"/>
          <w:b w:val="0"/>
          <w:bCs w:val="0"/>
          <w:color w:val="000000"/>
          <w:kern w:val="0"/>
          <w:sz w:val="32"/>
          <w:szCs w:val="32"/>
          <w:lang w:val="en-US" w:eastAsia="zh-CN" w:bidi="ar-SA"/>
        </w:rPr>
        <w:t>以无记名投票方式按确定各级岗位聘任人员。</w:t>
      </w:r>
    </w:p>
    <w:p>
      <w:pPr>
        <w:pStyle w:val="27"/>
        <w:keepNext w:val="0"/>
        <w:keepLines w:val="0"/>
        <w:widowControl w:val="0"/>
        <w:numPr>
          <w:ilvl w:val="0"/>
          <w:numId w:val="3"/>
        </w:numPr>
        <w:ind w:left="0" w:firstLine="640"/>
        <w:rPr>
          <w:rFonts w:hint="eastAsia" w:ascii="仿宋_GB2312" w:eastAsia="仿宋_GB2312"/>
          <w:sz w:val="32"/>
          <w:szCs w:val="32"/>
        </w:rPr>
      </w:pPr>
      <w:r>
        <w:rPr>
          <w:rFonts w:hint="eastAsia" w:ascii="仿宋_GB2312" w:hAnsi="宋体" w:eastAsia="仿宋_GB2312" w:cs="宋体"/>
          <w:b w:val="0"/>
          <w:bCs w:val="0"/>
          <w:color w:val="000000"/>
          <w:kern w:val="0"/>
          <w:sz w:val="32"/>
          <w:szCs w:val="32"/>
          <w:lang w:val="en-US" w:eastAsia="zh-CN" w:bidi="ar-SA"/>
        </w:rPr>
        <w:t>聘任中原则上实行原岗位优先原则，即如果本级岗位教师上一个聘期考核合格时，优先聘任本级岗位。如果本级岗位指标还有空缺，则下一级岗位教师可参与竞争。</w:t>
      </w:r>
      <w:r>
        <w:rPr>
          <w:rFonts w:hint="eastAsia" w:ascii="仿宋_GB2312" w:eastAsia="仿宋_GB2312" w:cs="宋体"/>
          <w:kern w:val="0"/>
          <w:sz w:val="32"/>
          <w:szCs w:val="32"/>
        </w:rPr>
        <w:t>符合</w:t>
      </w:r>
      <w:r>
        <w:rPr>
          <w:rFonts w:hint="eastAsia" w:cs="宋体"/>
          <w:kern w:val="0"/>
          <w:sz w:val="32"/>
          <w:szCs w:val="32"/>
          <w:lang w:eastAsia="zh-CN"/>
        </w:rPr>
        <w:t>副教授</w:t>
      </w:r>
      <w:r>
        <w:rPr>
          <w:rFonts w:hint="eastAsia" w:ascii="仿宋_GB2312" w:eastAsia="仿宋_GB2312" w:cs="宋体"/>
          <w:kern w:val="0"/>
          <w:sz w:val="32"/>
          <w:szCs w:val="32"/>
        </w:rPr>
        <w:t>一级岗位条件但票数没有进入</w:t>
      </w:r>
      <w:r>
        <w:rPr>
          <w:rFonts w:hint="eastAsia" w:ascii="仿宋_GB2312" w:eastAsia="仿宋_GB2312" w:cs="宋体"/>
          <w:kern w:val="0"/>
          <w:sz w:val="32"/>
          <w:szCs w:val="32"/>
          <w:lang w:val="en-US" w:eastAsia="zh-CN"/>
        </w:rPr>
        <w:t>本级岗位的</w:t>
      </w:r>
      <w:r>
        <w:rPr>
          <w:rFonts w:hint="eastAsia" w:ascii="仿宋_GB2312" w:eastAsia="仿宋_GB2312" w:cs="宋体"/>
          <w:kern w:val="0"/>
          <w:sz w:val="32"/>
          <w:szCs w:val="32"/>
        </w:rPr>
        <w:t>教师则转入副高二级岗不需要再投票表决；副高二级岗位评选办法与一级相同。副高</w:t>
      </w:r>
      <w:r>
        <w:rPr>
          <w:rFonts w:hint="eastAsia" w:hAnsi="Times New Roman" w:eastAsia="仿宋_GB2312"/>
          <w:kern w:val="0"/>
          <w:sz w:val="32"/>
          <w:szCs w:val="32"/>
          <w:lang w:val="en-US" w:eastAsia="zh-CN"/>
        </w:rPr>
        <w:t>三</w:t>
      </w:r>
      <w:r>
        <w:rPr>
          <w:rFonts w:hint="eastAsia" w:ascii="仿宋_GB2312" w:eastAsia="仿宋_GB2312" w:cs="宋体"/>
          <w:kern w:val="0"/>
          <w:sz w:val="32"/>
          <w:szCs w:val="32"/>
        </w:rPr>
        <w:t>级的人选，</w:t>
      </w:r>
      <w:r>
        <w:rPr>
          <w:rFonts w:hint="eastAsia" w:cs="宋体"/>
          <w:kern w:val="0"/>
          <w:sz w:val="32"/>
          <w:szCs w:val="32"/>
          <w:lang w:eastAsia="zh-CN"/>
        </w:rPr>
        <w:t>上一聘用期考核合格且不申请上一级岗位的，可以</w:t>
      </w:r>
      <w:r>
        <w:rPr>
          <w:rFonts w:hint="eastAsia" w:ascii="仿宋_GB2312" w:eastAsia="仿宋_GB2312" w:cs="宋体"/>
          <w:kern w:val="0"/>
          <w:sz w:val="32"/>
          <w:szCs w:val="32"/>
          <w:lang w:val="en-US" w:eastAsia="zh-CN"/>
        </w:rPr>
        <w:t>直接聘用</w:t>
      </w:r>
      <w:r>
        <w:rPr>
          <w:rFonts w:hint="eastAsia" w:cs="宋体"/>
          <w:kern w:val="0"/>
          <w:sz w:val="32"/>
          <w:szCs w:val="32"/>
          <w:lang w:val="en-US" w:eastAsia="zh-CN"/>
        </w:rPr>
        <w:t>到本级岗位</w:t>
      </w:r>
      <w:r>
        <w:rPr>
          <w:rFonts w:hint="eastAsia" w:ascii="仿宋_GB2312" w:eastAsia="仿宋_GB2312" w:cs="宋体"/>
          <w:kern w:val="0"/>
          <w:sz w:val="32"/>
          <w:szCs w:val="32"/>
          <w:lang w:val="en-US" w:eastAsia="zh-CN"/>
        </w:rPr>
        <w:t>。</w:t>
      </w:r>
    </w:p>
    <w:p>
      <w:pPr>
        <w:pStyle w:val="27"/>
        <w:keepNext w:val="0"/>
        <w:keepLines w:val="0"/>
        <w:widowControl w:val="0"/>
        <w:numPr>
          <w:ilvl w:val="0"/>
          <w:numId w:val="3"/>
        </w:numPr>
        <w:spacing w:line="360" w:lineRule="auto"/>
        <w:ind w:left="0" w:firstLine="640"/>
        <w:rPr>
          <w:rFonts w:hint="eastAsia" w:ascii="仿宋_GB2312" w:eastAsia="仿宋_GB2312" w:cs="宋体"/>
          <w:kern w:val="0"/>
          <w:sz w:val="32"/>
          <w:szCs w:val="32"/>
        </w:rPr>
      </w:pPr>
      <w:r>
        <w:rPr>
          <w:rFonts w:hint="eastAsia" w:ascii="仿宋_GB2312" w:eastAsia="仿宋_GB2312"/>
          <w:sz w:val="32"/>
          <w:szCs w:val="32"/>
        </w:rPr>
        <w:t>中级讲师</w:t>
      </w:r>
      <w:r>
        <w:rPr>
          <w:rFonts w:hint="eastAsia"/>
          <w:sz w:val="32"/>
          <w:szCs w:val="32"/>
          <w:lang w:val="en-US" w:eastAsia="zh-CN"/>
        </w:rPr>
        <w:t>岗位</w:t>
      </w:r>
      <w:r>
        <w:rPr>
          <w:rFonts w:hint="eastAsia" w:ascii="仿宋_GB2312" w:eastAsia="仿宋_GB2312"/>
          <w:sz w:val="32"/>
          <w:szCs w:val="32"/>
        </w:rPr>
        <w:t>具体</w:t>
      </w:r>
      <w:r>
        <w:rPr>
          <w:rFonts w:hint="eastAsia" w:ascii="仿宋_GB2312" w:eastAsia="仿宋_GB2312" w:cs="宋体"/>
          <w:bCs/>
          <w:kern w:val="0"/>
          <w:sz w:val="32"/>
          <w:szCs w:val="32"/>
        </w:rPr>
        <w:t>评选办法</w:t>
      </w:r>
      <w:r>
        <w:rPr>
          <w:rFonts w:hint="eastAsia" w:cs="宋体"/>
          <w:bCs/>
          <w:kern w:val="0"/>
          <w:sz w:val="32"/>
          <w:szCs w:val="32"/>
          <w:lang w:eastAsia="zh-CN"/>
        </w:rPr>
        <w:t>：</w:t>
      </w:r>
      <w:r>
        <w:rPr>
          <w:rFonts w:hint="eastAsia" w:ascii="仿宋_GB2312" w:eastAsia="仿宋_GB2312"/>
          <w:sz w:val="32"/>
          <w:szCs w:val="32"/>
        </w:rPr>
        <w:t>中级讲师岗位等级（</w:t>
      </w:r>
      <w:r>
        <w:rPr>
          <w:rFonts w:hAnsi="Times New Roman" w:eastAsia="仿宋_GB2312"/>
          <w:sz w:val="32"/>
          <w:szCs w:val="32"/>
        </w:rPr>
        <w:t>8</w:t>
      </w:r>
      <w:r>
        <w:rPr>
          <w:rFonts w:hint="eastAsia" w:ascii="仿宋_GB2312" w:eastAsia="仿宋_GB2312"/>
          <w:sz w:val="32"/>
          <w:szCs w:val="32"/>
        </w:rPr>
        <w:t>～</w:t>
      </w:r>
      <w:r>
        <w:rPr>
          <w:rFonts w:hAnsi="Times New Roman" w:eastAsia="仿宋_GB2312"/>
          <w:sz w:val="32"/>
          <w:szCs w:val="32"/>
        </w:rPr>
        <w:t>10</w:t>
      </w:r>
      <w:r>
        <w:rPr>
          <w:rFonts w:hint="eastAsia" w:ascii="仿宋_GB2312" w:eastAsia="仿宋_GB2312"/>
          <w:sz w:val="32"/>
          <w:szCs w:val="32"/>
        </w:rPr>
        <w:t>级）的确定办法与副教授岗位相同。</w:t>
      </w:r>
      <w:r>
        <w:rPr>
          <w:rFonts w:hint="eastAsia" w:cs="宋体"/>
          <w:b w:val="0"/>
          <w:bCs w:val="0"/>
          <w:color w:val="000000"/>
          <w:kern w:val="0"/>
          <w:sz w:val="32"/>
          <w:szCs w:val="32"/>
          <w:lang w:val="en-US" w:eastAsia="zh-CN" w:bidi="ar-SA"/>
        </w:rPr>
        <w:t>符合讲师岗位</w:t>
      </w:r>
      <w:r>
        <w:rPr>
          <w:rFonts w:hint="eastAsia" w:ascii="仿宋_GB2312" w:hAnsi="宋体" w:eastAsia="仿宋_GB2312" w:cs="宋体"/>
          <w:b w:val="0"/>
          <w:bCs w:val="0"/>
          <w:color w:val="000000"/>
          <w:kern w:val="0"/>
          <w:sz w:val="32"/>
          <w:szCs w:val="32"/>
          <w:lang w:val="en-US" w:eastAsia="zh-CN"/>
        </w:rPr>
        <w:t>职责条件和评选条件</w:t>
      </w:r>
      <w:r>
        <w:rPr>
          <w:rFonts w:hint="eastAsia" w:cs="宋体"/>
          <w:b w:val="0"/>
          <w:bCs w:val="0"/>
          <w:color w:val="000000"/>
          <w:kern w:val="0"/>
          <w:sz w:val="32"/>
          <w:szCs w:val="32"/>
          <w:lang w:val="en-US" w:eastAsia="zh-CN" w:bidi="ar-SA"/>
        </w:rPr>
        <w:t>的教师可以申报相应岗位。学院</w:t>
      </w:r>
      <w:r>
        <w:rPr>
          <w:rFonts w:hint="eastAsia" w:ascii="仿宋_GB2312" w:hAnsi="宋体" w:eastAsia="仿宋_GB2312" w:cs="宋体"/>
          <w:b w:val="0"/>
          <w:bCs w:val="0"/>
          <w:color w:val="000000"/>
          <w:kern w:val="0"/>
          <w:sz w:val="32"/>
          <w:szCs w:val="32"/>
          <w:lang w:val="en-US" w:eastAsia="zh-CN" w:bidi="ar-SA"/>
        </w:rPr>
        <w:t>聘用</w:t>
      </w:r>
      <w:r>
        <w:rPr>
          <w:rFonts w:hint="eastAsia" w:cs="宋体"/>
          <w:b w:val="0"/>
          <w:bCs w:val="0"/>
          <w:color w:val="000000"/>
          <w:kern w:val="0"/>
          <w:sz w:val="32"/>
          <w:szCs w:val="32"/>
          <w:lang w:val="en-US" w:eastAsia="zh-CN" w:bidi="ar-SA"/>
        </w:rPr>
        <w:t>委员会根据申请</w:t>
      </w:r>
      <w:r>
        <w:rPr>
          <w:rFonts w:hint="eastAsia" w:ascii="仿宋_GB2312" w:hAnsi="宋体" w:eastAsia="仿宋_GB2312" w:cs="宋体"/>
          <w:b w:val="0"/>
          <w:bCs w:val="0"/>
          <w:color w:val="000000"/>
          <w:kern w:val="0"/>
          <w:sz w:val="32"/>
          <w:szCs w:val="32"/>
          <w:lang w:val="en-US" w:eastAsia="zh-CN" w:bidi="ar-SA"/>
        </w:rPr>
        <w:t>人</w:t>
      </w:r>
      <w:r>
        <w:rPr>
          <w:rFonts w:hint="eastAsia" w:cs="宋体"/>
          <w:b w:val="0"/>
          <w:bCs w:val="0"/>
          <w:color w:val="000000"/>
          <w:kern w:val="0"/>
          <w:sz w:val="32"/>
          <w:szCs w:val="32"/>
          <w:lang w:val="en-US" w:eastAsia="zh-CN" w:bidi="ar-SA"/>
        </w:rPr>
        <w:t>任职期限、项目、成果和教学等</w:t>
      </w:r>
      <w:r>
        <w:rPr>
          <w:rFonts w:hint="eastAsia" w:ascii="仿宋_GB2312" w:hAnsi="宋体" w:eastAsia="仿宋_GB2312" w:cs="宋体"/>
          <w:b w:val="0"/>
          <w:bCs w:val="0"/>
          <w:color w:val="000000"/>
          <w:kern w:val="0"/>
          <w:sz w:val="32"/>
          <w:szCs w:val="32"/>
          <w:lang w:val="en-US" w:eastAsia="zh-CN" w:bidi="ar-SA"/>
        </w:rPr>
        <w:t>情况，</w:t>
      </w:r>
      <w:r>
        <w:rPr>
          <w:rFonts w:hint="eastAsia" w:cs="宋体"/>
          <w:b w:val="0"/>
          <w:bCs w:val="0"/>
          <w:color w:val="000000"/>
          <w:kern w:val="0"/>
          <w:sz w:val="32"/>
          <w:szCs w:val="32"/>
          <w:lang w:val="en-US" w:eastAsia="zh-CN" w:bidi="ar-SA"/>
        </w:rPr>
        <w:t>在</w:t>
      </w:r>
      <w:r>
        <w:rPr>
          <w:rFonts w:hint="eastAsia" w:ascii="仿宋_GB2312" w:hAnsi="宋体" w:eastAsia="仿宋_GB2312" w:cs="宋体"/>
          <w:b w:val="0"/>
          <w:bCs w:val="0"/>
          <w:color w:val="000000"/>
          <w:kern w:val="0"/>
          <w:sz w:val="32"/>
          <w:szCs w:val="32"/>
          <w:lang w:val="en-US" w:eastAsia="zh-CN" w:bidi="ar-SA"/>
        </w:rPr>
        <w:t>学校核定的</w:t>
      </w:r>
      <w:r>
        <w:rPr>
          <w:rFonts w:hint="eastAsia" w:cs="宋体"/>
          <w:b w:val="0"/>
          <w:bCs w:val="0"/>
          <w:color w:val="000000"/>
          <w:kern w:val="0"/>
          <w:sz w:val="32"/>
          <w:szCs w:val="32"/>
          <w:lang w:val="en-US" w:eastAsia="zh-CN" w:bidi="ar-SA"/>
        </w:rPr>
        <w:t>讲师</w:t>
      </w:r>
      <w:r>
        <w:rPr>
          <w:rFonts w:hint="eastAsia" w:ascii="仿宋_GB2312" w:hAnsi="宋体" w:eastAsia="仿宋_GB2312" w:cs="宋体"/>
          <w:b w:val="0"/>
          <w:bCs w:val="0"/>
          <w:color w:val="000000"/>
          <w:kern w:val="0"/>
          <w:sz w:val="32"/>
          <w:szCs w:val="32"/>
          <w:lang w:val="en-US" w:eastAsia="zh-CN" w:bidi="ar-SA"/>
        </w:rPr>
        <w:t>岗位职数</w:t>
      </w:r>
      <w:r>
        <w:rPr>
          <w:rFonts w:hint="eastAsia" w:cs="宋体"/>
          <w:b w:val="0"/>
          <w:bCs w:val="0"/>
          <w:color w:val="000000"/>
          <w:kern w:val="0"/>
          <w:sz w:val="32"/>
          <w:szCs w:val="32"/>
          <w:lang w:val="en-US" w:eastAsia="zh-CN" w:bidi="ar-SA"/>
        </w:rPr>
        <w:t>范围内，</w:t>
      </w:r>
      <w:r>
        <w:rPr>
          <w:rFonts w:hint="eastAsia" w:ascii="仿宋_GB2312" w:hAnsi="宋体" w:eastAsia="仿宋_GB2312" w:cs="宋体"/>
          <w:b w:val="0"/>
          <w:bCs w:val="0"/>
          <w:color w:val="000000"/>
          <w:kern w:val="0"/>
          <w:sz w:val="32"/>
          <w:szCs w:val="32"/>
          <w:lang w:val="en-US" w:eastAsia="zh-CN" w:bidi="ar-SA"/>
        </w:rPr>
        <w:t>以无记名投票方式按确定各级岗位聘任人员。</w:t>
      </w:r>
    </w:p>
    <w:p>
      <w:pPr>
        <w:pStyle w:val="27"/>
        <w:keepNext w:val="0"/>
        <w:keepLines w:val="0"/>
        <w:widowControl w:val="0"/>
        <w:numPr>
          <w:ilvl w:val="0"/>
          <w:numId w:val="3"/>
        </w:numPr>
        <w:spacing w:line="360" w:lineRule="auto"/>
        <w:ind w:left="0" w:firstLine="640"/>
        <w:rPr>
          <w:rFonts w:hint="eastAsia" w:ascii="仿宋_GB2312" w:eastAsia="仿宋_GB2312"/>
          <w:sz w:val="32"/>
          <w:szCs w:val="32"/>
        </w:rPr>
      </w:pPr>
      <w:r>
        <w:rPr>
          <w:rFonts w:hint="eastAsia" w:ascii="仿宋_GB2312" w:hAnsi="宋体" w:eastAsia="仿宋_GB2312" w:cstheme="majorBidi"/>
          <w:b w:val="0"/>
          <w:bCs/>
          <w:kern w:val="0"/>
          <w:sz w:val="32"/>
          <w:szCs w:val="32"/>
          <w:lang w:val="en-US" w:eastAsia="zh-CN" w:bidi="ar-SA"/>
        </w:rPr>
        <w:t>助教岗位具体评选办法</w:t>
      </w:r>
      <w:r>
        <w:rPr>
          <w:rFonts w:hint="eastAsia" w:cstheme="majorBidi"/>
          <w:b w:val="0"/>
          <w:bCs/>
          <w:kern w:val="0"/>
          <w:sz w:val="32"/>
          <w:szCs w:val="32"/>
          <w:lang w:val="en-US" w:eastAsia="zh-CN" w:bidi="ar-SA"/>
        </w:rPr>
        <w:t>：</w:t>
      </w:r>
      <w:r>
        <w:rPr>
          <w:rFonts w:hint="eastAsia" w:ascii="仿宋_GB2312" w:eastAsia="仿宋_GB2312"/>
          <w:sz w:val="32"/>
          <w:szCs w:val="32"/>
        </w:rPr>
        <w:t>初级</w:t>
      </w:r>
      <w:r>
        <w:rPr>
          <w:rFonts w:hint="eastAsia" w:ascii="仿宋_GB2312" w:hAnsi="宋体" w:eastAsia="仿宋_GB2312"/>
          <w:sz w:val="32"/>
          <w:szCs w:val="32"/>
        </w:rPr>
        <w:t>专业技术岗位</w:t>
      </w:r>
      <w:r>
        <w:rPr>
          <w:rFonts w:hint="eastAsia" w:ascii="仿宋_GB2312" w:eastAsia="仿宋_GB2312"/>
          <w:sz w:val="32"/>
          <w:szCs w:val="32"/>
        </w:rPr>
        <w:t>（</w:t>
      </w:r>
      <w:r>
        <w:rPr>
          <w:rFonts w:eastAsia="仿宋_GB2312"/>
          <w:sz w:val="32"/>
          <w:szCs w:val="32"/>
        </w:rPr>
        <w:t>11</w:t>
      </w:r>
      <w:r>
        <w:rPr>
          <w:rFonts w:hint="eastAsia" w:ascii="仿宋_GB2312" w:eastAsia="仿宋_GB2312"/>
          <w:sz w:val="32"/>
          <w:szCs w:val="32"/>
        </w:rPr>
        <w:t>～</w:t>
      </w:r>
      <w:r>
        <w:rPr>
          <w:rFonts w:eastAsia="仿宋_GB2312"/>
          <w:sz w:val="32"/>
          <w:szCs w:val="32"/>
        </w:rPr>
        <w:t>13</w:t>
      </w:r>
      <w:r>
        <w:rPr>
          <w:rFonts w:hint="eastAsia" w:ascii="仿宋_GB2312" w:eastAsia="仿宋_GB2312"/>
          <w:sz w:val="32"/>
          <w:szCs w:val="32"/>
        </w:rPr>
        <w:t>级）确定办法与中级讲师和助教具体</w:t>
      </w:r>
      <w:r>
        <w:rPr>
          <w:rFonts w:hint="eastAsia" w:ascii="仿宋_GB2312" w:eastAsia="仿宋_GB2312" w:cs="宋体"/>
          <w:bCs/>
          <w:sz w:val="32"/>
          <w:szCs w:val="32"/>
        </w:rPr>
        <w:t>评选办法相同</w:t>
      </w:r>
      <w:r>
        <w:rPr>
          <w:rFonts w:hint="eastAsia" w:cs="宋体"/>
          <w:bCs/>
          <w:sz w:val="32"/>
          <w:szCs w:val="32"/>
          <w:lang w:eastAsia="zh-CN"/>
        </w:rPr>
        <w:t>。</w:t>
      </w:r>
      <w:r>
        <w:rPr>
          <w:rFonts w:hint="eastAsia" w:cs="宋体"/>
          <w:b w:val="0"/>
          <w:bCs w:val="0"/>
          <w:color w:val="000000"/>
          <w:kern w:val="0"/>
          <w:sz w:val="32"/>
          <w:szCs w:val="32"/>
          <w:lang w:val="en-US" w:eastAsia="zh-CN" w:bidi="ar-SA"/>
        </w:rPr>
        <w:t>符合助教岗位</w:t>
      </w:r>
      <w:r>
        <w:rPr>
          <w:rFonts w:hint="eastAsia" w:ascii="仿宋_GB2312" w:hAnsi="宋体" w:eastAsia="仿宋_GB2312" w:cs="宋体"/>
          <w:b w:val="0"/>
          <w:bCs w:val="0"/>
          <w:color w:val="000000"/>
          <w:kern w:val="0"/>
          <w:sz w:val="32"/>
          <w:szCs w:val="32"/>
          <w:lang w:val="en-US" w:eastAsia="zh-CN"/>
        </w:rPr>
        <w:t>职责条件和评选条件</w:t>
      </w:r>
      <w:r>
        <w:rPr>
          <w:rFonts w:hint="eastAsia" w:cs="宋体"/>
          <w:b w:val="0"/>
          <w:bCs w:val="0"/>
          <w:color w:val="000000"/>
          <w:kern w:val="0"/>
          <w:sz w:val="32"/>
          <w:szCs w:val="32"/>
          <w:lang w:val="en-US" w:eastAsia="zh-CN" w:bidi="ar-SA"/>
        </w:rPr>
        <w:t>的教师可以申报相应岗位。学院</w:t>
      </w:r>
      <w:r>
        <w:rPr>
          <w:rFonts w:hint="eastAsia" w:ascii="仿宋_GB2312" w:hAnsi="宋体" w:eastAsia="仿宋_GB2312" w:cs="宋体"/>
          <w:b w:val="0"/>
          <w:bCs w:val="0"/>
          <w:color w:val="000000"/>
          <w:kern w:val="0"/>
          <w:sz w:val="32"/>
          <w:szCs w:val="32"/>
          <w:lang w:val="en-US" w:eastAsia="zh-CN" w:bidi="ar-SA"/>
        </w:rPr>
        <w:t>聘用</w:t>
      </w:r>
      <w:r>
        <w:rPr>
          <w:rFonts w:hint="eastAsia" w:cs="宋体"/>
          <w:b w:val="0"/>
          <w:bCs w:val="0"/>
          <w:color w:val="000000"/>
          <w:kern w:val="0"/>
          <w:sz w:val="32"/>
          <w:szCs w:val="32"/>
          <w:lang w:val="en-US" w:eastAsia="zh-CN" w:bidi="ar-SA"/>
        </w:rPr>
        <w:t>委员会根据申请</w:t>
      </w:r>
      <w:r>
        <w:rPr>
          <w:rFonts w:hint="eastAsia" w:ascii="仿宋_GB2312" w:hAnsi="宋体" w:eastAsia="仿宋_GB2312" w:cs="宋体"/>
          <w:b w:val="0"/>
          <w:bCs w:val="0"/>
          <w:color w:val="000000"/>
          <w:kern w:val="0"/>
          <w:sz w:val="32"/>
          <w:szCs w:val="32"/>
          <w:lang w:val="en-US" w:eastAsia="zh-CN" w:bidi="ar-SA"/>
        </w:rPr>
        <w:t>人</w:t>
      </w:r>
      <w:r>
        <w:rPr>
          <w:rFonts w:hint="eastAsia" w:cs="宋体"/>
          <w:b w:val="0"/>
          <w:bCs w:val="0"/>
          <w:color w:val="000000"/>
          <w:kern w:val="0"/>
          <w:sz w:val="32"/>
          <w:szCs w:val="32"/>
          <w:lang w:val="en-US" w:eastAsia="zh-CN" w:bidi="ar-SA"/>
        </w:rPr>
        <w:t>任职期限、项目、成果和教学等</w:t>
      </w:r>
      <w:r>
        <w:rPr>
          <w:rFonts w:hint="eastAsia" w:ascii="仿宋_GB2312" w:hAnsi="宋体" w:eastAsia="仿宋_GB2312" w:cs="宋体"/>
          <w:b w:val="0"/>
          <w:bCs w:val="0"/>
          <w:color w:val="000000"/>
          <w:kern w:val="0"/>
          <w:sz w:val="32"/>
          <w:szCs w:val="32"/>
          <w:lang w:val="en-US" w:eastAsia="zh-CN" w:bidi="ar-SA"/>
        </w:rPr>
        <w:t>情况，</w:t>
      </w:r>
      <w:r>
        <w:rPr>
          <w:rFonts w:hint="eastAsia" w:cs="宋体"/>
          <w:b w:val="0"/>
          <w:bCs w:val="0"/>
          <w:color w:val="000000"/>
          <w:kern w:val="0"/>
          <w:sz w:val="32"/>
          <w:szCs w:val="32"/>
          <w:lang w:val="en-US" w:eastAsia="zh-CN" w:bidi="ar-SA"/>
        </w:rPr>
        <w:t>在</w:t>
      </w:r>
      <w:r>
        <w:rPr>
          <w:rFonts w:hint="eastAsia" w:ascii="仿宋_GB2312" w:hAnsi="宋体" w:eastAsia="仿宋_GB2312" w:cs="宋体"/>
          <w:b w:val="0"/>
          <w:bCs w:val="0"/>
          <w:color w:val="000000"/>
          <w:kern w:val="0"/>
          <w:sz w:val="32"/>
          <w:szCs w:val="32"/>
          <w:lang w:val="en-US" w:eastAsia="zh-CN" w:bidi="ar-SA"/>
        </w:rPr>
        <w:t>学校核定的</w:t>
      </w:r>
      <w:r>
        <w:rPr>
          <w:rFonts w:hint="eastAsia" w:cs="宋体"/>
          <w:b w:val="0"/>
          <w:bCs w:val="0"/>
          <w:color w:val="000000"/>
          <w:kern w:val="0"/>
          <w:sz w:val="32"/>
          <w:szCs w:val="32"/>
          <w:lang w:val="en-US" w:eastAsia="zh-CN" w:bidi="ar-SA"/>
        </w:rPr>
        <w:t>助教</w:t>
      </w:r>
      <w:r>
        <w:rPr>
          <w:rFonts w:hint="eastAsia" w:ascii="仿宋_GB2312" w:hAnsi="宋体" w:eastAsia="仿宋_GB2312" w:cs="宋体"/>
          <w:b w:val="0"/>
          <w:bCs w:val="0"/>
          <w:color w:val="000000"/>
          <w:kern w:val="0"/>
          <w:sz w:val="32"/>
          <w:szCs w:val="32"/>
          <w:lang w:val="en-US" w:eastAsia="zh-CN" w:bidi="ar-SA"/>
        </w:rPr>
        <w:t>岗位职数</w:t>
      </w:r>
      <w:r>
        <w:rPr>
          <w:rFonts w:hint="eastAsia" w:cs="宋体"/>
          <w:b w:val="0"/>
          <w:bCs w:val="0"/>
          <w:color w:val="000000"/>
          <w:kern w:val="0"/>
          <w:sz w:val="32"/>
          <w:szCs w:val="32"/>
          <w:lang w:val="en-US" w:eastAsia="zh-CN" w:bidi="ar-SA"/>
        </w:rPr>
        <w:t>范围内，</w:t>
      </w:r>
      <w:r>
        <w:rPr>
          <w:rFonts w:hint="eastAsia" w:ascii="仿宋_GB2312" w:hAnsi="宋体" w:eastAsia="仿宋_GB2312" w:cs="宋体"/>
          <w:b w:val="0"/>
          <w:bCs w:val="0"/>
          <w:color w:val="000000"/>
          <w:kern w:val="0"/>
          <w:sz w:val="32"/>
          <w:szCs w:val="32"/>
          <w:lang w:val="en-US" w:eastAsia="zh-CN" w:bidi="ar-SA"/>
        </w:rPr>
        <w:t>以无记名投票方式按确定各级岗位聘任人员。</w:t>
      </w:r>
    </w:p>
    <w:p>
      <w:pPr>
        <w:pStyle w:val="10"/>
        <w:widowControl w:val="0"/>
        <w:tabs>
          <w:tab w:val="left" w:pos="540"/>
        </w:tabs>
        <w:spacing w:before="0" w:beforeAutospacing="0" w:after="0" w:afterAutospacing="0" w:line="360" w:lineRule="auto"/>
        <w:ind w:firstLine="640" w:firstLineChars="200"/>
        <w:jc w:val="both"/>
        <w:rPr>
          <w:rFonts w:hint="eastAsia" w:ascii="仿宋_GB2312" w:hAnsi="宋体" w:eastAsia="仿宋_GB2312"/>
          <w:sz w:val="32"/>
          <w:szCs w:val="32"/>
        </w:rPr>
      </w:pPr>
      <w:r>
        <w:rPr>
          <w:rFonts w:hint="eastAsia" w:ascii="仿宋_GB2312" w:hAnsi="宋体" w:eastAsia="仿宋_GB2312"/>
          <w:sz w:val="32"/>
          <w:szCs w:val="32"/>
        </w:rPr>
        <w:t>已聘助教职务</w:t>
      </w:r>
      <w:r>
        <w:rPr>
          <w:rFonts w:eastAsia="仿宋_GB2312"/>
          <w:sz w:val="32"/>
          <w:szCs w:val="32"/>
        </w:rPr>
        <w:t>2</w:t>
      </w:r>
      <w:r>
        <w:rPr>
          <w:rFonts w:hint="eastAsia" w:ascii="仿宋_GB2312" w:hAnsi="宋体" w:eastAsia="仿宋_GB2312"/>
          <w:sz w:val="32"/>
          <w:szCs w:val="32"/>
        </w:rPr>
        <w:t>年以上或</w:t>
      </w:r>
      <w:r>
        <w:rPr>
          <w:rFonts w:hint="eastAsia" w:ascii="仿宋_GB2312" w:hAnsi="宋体" w:eastAsia="仿宋_GB2312" w:cs="宋体"/>
          <w:color w:val="000000"/>
          <w:sz w:val="32"/>
          <w:szCs w:val="32"/>
        </w:rPr>
        <w:t>有硕士学位</w:t>
      </w:r>
      <w:r>
        <w:rPr>
          <w:rFonts w:hint="eastAsia" w:ascii="仿宋_GB2312" w:hAnsi="宋体" w:eastAsia="仿宋_GB2312"/>
          <w:sz w:val="32"/>
          <w:szCs w:val="32"/>
        </w:rPr>
        <w:t>且</w:t>
      </w:r>
      <w:r>
        <w:rPr>
          <w:rFonts w:hint="eastAsia" w:ascii="仿宋_GB2312" w:hAnsi="宋体" w:eastAsia="仿宋_GB2312" w:cs="宋体"/>
          <w:color w:val="000000"/>
          <w:sz w:val="32"/>
          <w:szCs w:val="32"/>
        </w:rPr>
        <w:t>从事</w:t>
      </w:r>
      <w:r>
        <w:rPr>
          <w:rFonts w:hint="eastAsia" w:ascii="仿宋_GB2312" w:hAnsi="宋体" w:eastAsia="仿宋_GB2312"/>
          <w:sz w:val="32"/>
          <w:szCs w:val="32"/>
        </w:rPr>
        <w:t>助教</w:t>
      </w:r>
      <w:r>
        <w:rPr>
          <w:rFonts w:hint="eastAsia" w:ascii="仿宋_GB2312" w:hAnsi="宋体" w:eastAsia="仿宋_GB2312" w:cs="宋体"/>
          <w:color w:val="000000"/>
          <w:sz w:val="32"/>
          <w:szCs w:val="32"/>
        </w:rPr>
        <w:t>工作者，同时</w:t>
      </w:r>
      <w:r>
        <w:rPr>
          <w:rFonts w:hint="eastAsia" w:ascii="仿宋_GB2312" w:hAnsi="宋体" w:eastAsia="仿宋_GB2312" w:cs="宋体"/>
          <w:bCs/>
          <w:sz w:val="32"/>
          <w:szCs w:val="32"/>
        </w:rPr>
        <w:t>完成额定的教学工作量的，原则上</w:t>
      </w:r>
      <w:r>
        <w:rPr>
          <w:rFonts w:hint="eastAsia" w:ascii="仿宋_GB2312" w:hAnsi="宋体" w:eastAsia="仿宋_GB2312"/>
          <w:sz w:val="32"/>
          <w:szCs w:val="32"/>
        </w:rPr>
        <w:t>可直接聘用助教一级</w:t>
      </w:r>
      <w:r>
        <w:rPr>
          <w:rFonts w:hint="eastAsia" w:ascii="仿宋_GB2312" w:hAnsi="宋体" w:eastAsia="仿宋_GB2312" w:cs="宋体"/>
          <w:color w:val="000000"/>
          <w:sz w:val="32"/>
          <w:szCs w:val="32"/>
        </w:rPr>
        <w:t>岗位。</w:t>
      </w:r>
    </w:p>
    <w:p>
      <w:pPr>
        <w:pStyle w:val="27"/>
        <w:keepNext w:val="0"/>
        <w:keepLines w:val="0"/>
        <w:widowControl w:val="0"/>
        <w:numPr>
          <w:ilvl w:val="0"/>
          <w:numId w:val="3"/>
        </w:numPr>
        <w:spacing w:line="360" w:lineRule="auto"/>
        <w:ind w:left="0" w:firstLine="640"/>
        <w:rPr>
          <w:rFonts w:hint="eastAsia" w:ascii="仿宋_GB2312" w:hAnsi="宋体" w:eastAsia="仿宋_GB2312"/>
          <w:sz w:val="32"/>
          <w:szCs w:val="32"/>
        </w:rPr>
      </w:pPr>
      <w:r>
        <w:rPr>
          <w:rFonts w:hint="eastAsia" w:ascii="仿宋_GB2312" w:hAnsi="宋体" w:eastAsia="仿宋_GB2312"/>
          <w:sz w:val="32"/>
          <w:szCs w:val="32"/>
        </w:rPr>
        <w:t>其他</w:t>
      </w:r>
      <w:r>
        <w:rPr>
          <w:rFonts w:hint="eastAsia" w:ascii="仿宋_GB2312" w:hAnsi="宋体" w:eastAsia="仿宋_GB2312" w:cs="宋体"/>
          <w:sz w:val="32"/>
          <w:szCs w:val="32"/>
        </w:rPr>
        <w:t>专业技术岗位</w:t>
      </w:r>
      <w:r>
        <w:rPr>
          <w:rFonts w:hint="eastAsia" w:ascii="仿宋_GB2312" w:hAnsi="宋体" w:eastAsia="仿宋_GB2312"/>
          <w:sz w:val="32"/>
          <w:szCs w:val="32"/>
        </w:rPr>
        <w:t>具体</w:t>
      </w:r>
      <w:r>
        <w:rPr>
          <w:rFonts w:hint="eastAsia" w:ascii="仿宋_GB2312" w:hAnsi="宋体" w:eastAsia="仿宋_GB2312" w:cs="宋体"/>
          <w:bCs/>
          <w:sz w:val="32"/>
          <w:szCs w:val="32"/>
        </w:rPr>
        <w:t>评选办法</w:t>
      </w:r>
      <w:r>
        <w:rPr>
          <w:rFonts w:hint="eastAsia" w:cs="宋体"/>
          <w:bCs/>
          <w:sz w:val="32"/>
          <w:szCs w:val="32"/>
          <w:lang w:eastAsia="zh-CN"/>
        </w:rPr>
        <w:t>：</w:t>
      </w:r>
      <w:r>
        <w:rPr>
          <w:rFonts w:hint="eastAsia"/>
        </w:rPr>
        <w:t>其他</w:t>
      </w:r>
      <w:r>
        <w:rPr>
          <w:rFonts w:hint="eastAsia"/>
          <w:lang w:val="en-US" w:eastAsia="zh-CN"/>
        </w:rPr>
        <w:t>岗位是指学院中除教师外的学校文件规定的“管理岗位”、“其他</w:t>
      </w:r>
      <w:r>
        <w:rPr>
          <w:rFonts w:hint="eastAsia"/>
        </w:rPr>
        <w:t>专业技术岗位</w:t>
      </w:r>
      <w:r>
        <w:rPr>
          <w:rFonts w:hint="eastAsia"/>
          <w:lang w:eastAsia="zh-CN"/>
        </w:rPr>
        <w:t>”</w:t>
      </w:r>
      <w:r>
        <w:rPr>
          <w:rFonts w:hint="eastAsia"/>
          <w:lang w:val="en-US" w:eastAsia="zh-CN"/>
        </w:rPr>
        <w:t>、“</w:t>
      </w:r>
      <w:r>
        <w:rPr>
          <w:rFonts w:hint="eastAsia"/>
        </w:rPr>
        <w:t>专职辅导员聘用教师岗位</w:t>
      </w:r>
      <w:r>
        <w:rPr>
          <w:rFonts w:hint="eastAsia"/>
          <w:lang w:eastAsia="zh-CN"/>
        </w:rPr>
        <w:t>”</w:t>
      </w:r>
      <w:r>
        <w:rPr>
          <w:rFonts w:hint="eastAsia"/>
          <w:lang w:val="en-US" w:eastAsia="zh-CN"/>
        </w:rPr>
        <w:t>和“工勤技能岗位”等，其他岗位的设置与聘用管理适用学校制定相关文件，学院不另行制定。</w:t>
      </w:r>
    </w:p>
    <w:p>
      <w:pPr>
        <w:pStyle w:val="27"/>
        <w:keepNext w:val="0"/>
        <w:keepLines w:val="0"/>
        <w:widowControl w:val="0"/>
        <w:numPr>
          <w:ilvl w:val="0"/>
          <w:numId w:val="3"/>
        </w:numPr>
        <w:spacing w:line="360" w:lineRule="auto"/>
        <w:ind w:left="0" w:firstLine="640"/>
        <w:rPr>
          <w:rFonts w:hint="eastAsia" w:ascii="仿宋_GB2312" w:hAnsi="宋体" w:eastAsia="仿宋_GB2312"/>
          <w:sz w:val="32"/>
          <w:szCs w:val="32"/>
        </w:rPr>
      </w:pPr>
      <w:r>
        <w:rPr>
          <w:rFonts w:hint="eastAsia"/>
          <w:sz w:val="32"/>
          <w:szCs w:val="32"/>
          <w:lang w:val="en-US" w:eastAsia="zh-CN"/>
        </w:rPr>
        <w:t>由</w:t>
      </w:r>
      <w:r>
        <w:rPr>
          <w:rFonts w:hint="eastAsia" w:ascii="仿宋_GB2312" w:hAnsi="宋体" w:eastAsia="仿宋_GB2312" w:cs="宋体"/>
          <w:b w:val="0"/>
          <w:bCs w:val="0"/>
          <w:color w:val="000000"/>
          <w:kern w:val="0"/>
          <w:sz w:val="32"/>
          <w:szCs w:val="32"/>
          <w:lang w:val="en-US" w:eastAsia="zh-CN"/>
        </w:rPr>
        <w:t>学院岗位设置与聘用工作</w:t>
      </w:r>
      <w:r>
        <w:rPr>
          <w:rFonts w:hint="eastAsia" w:cs="宋体"/>
          <w:b w:val="0"/>
          <w:bCs w:val="0"/>
          <w:color w:val="000000"/>
          <w:kern w:val="0"/>
          <w:sz w:val="32"/>
          <w:szCs w:val="32"/>
          <w:lang w:val="en-US" w:eastAsia="zh-CN"/>
        </w:rPr>
        <w:t>领导</w:t>
      </w:r>
      <w:r>
        <w:rPr>
          <w:rFonts w:hint="eastAsia" w:ascii="仿宋_GB2312" w:hAnsi="宋体" w:eastAsia="仿宋_GB2312" w:cs="宋体"/>
          <w:b w:val="0"/>
          <w:bCs w:val="0"/>
          <w:color w:val="000000"/>
          <w:kern w:val="0"/>
          <w:sz w:val="32"/>
          <w:szCs w:val="32"/>
          <w:lang w:val="en-US" w:eastAsia="zh-CN"/>
        </w:rPr>
        <w:t>小组</w:t>
      </w:r>
      <w:r>
        <w:rPr>
          <w:rFonts w:hint="eastAsia" w:cs="宋体"/>
          <w:b w:val="0"/>
          <w:bCs w:val="0"/>
          <w:color w:val="000000"/>
          <w:kern w:val="0"/>
          <w:sz w:val="32"/>
          <w:szCs w:val="32"/>
          <w:lang w:val="en-US" w:eastAsia="zh-CN"/>
        </w:rPr>
        <w:t>和公共管理学院教职员工聘用委员会按专任教师系列四级至十一级依次进行聘岗。其它技术岗位由学校文件依次聘岗。</w:t>
      </w:r>
    </w:p>
    <w:p>
      <w:pPr>
        <w:pStyle w:val="27"/>
        <w:keepNext w:val="0"/>
        <w:keepLines w:val="0"/>
        <w:widowControl w:val="0"/>
        <w:numPr>
          <w:ilvl w:val="0"/>
          <w:numId w:val="3"/>
        </w:numPr>
        <w:spacing w:line="360" w:lineRule="auto"/>
        <w:ind w:left="0" w:firstLine="640"/>
        <w:rPr>
          <w:rFonts w:hint="eastAsia" w:ascii="仿宋_GB2312" w:hAnsi="宋体" w:eastAsia="仿宋_GB2312"/>
          <w:sz w:val="32"/>
          <w:szCs w:val="32"/>
        </w:rPr>
      </w:pPr>
      <w:r>
        <w:rPr>
          <w:rFonts w:hint="eastAsia" w:ascii="仿宋_GB2312" w:hAnsi="宋体" w:eastAsia="仿宋_GB2312"/>
          <w:sz w:val="32"/>
          <w:szCs w:val="32"/>
        </w:rPr>
        <w:t>聘期</w:t>
      </w:r>
      <w:r>
        <w:rPr>
          <w:rFonts w:hint="eastAsia"/>
          <w:sz w:val="32"/>
          <w:szCs w:val="32"/>
          <w:lang w:eastAsia="zh-CN"/>
        </w:rPr>
        <w:t>：</w:t>
      </w:r>
      <w:r>
        <w:rPr>
          <w:rFonts w:hint="eastAsia" w:ascii="仿宋_GB2312" w:hAnsi="宋体" w:eastAsia="仿宋_GB2312"/>
          <w:sz w:val="32"/>
          <w:szCs w:val="32"/>
        </w:rPr>
        <w:t>聘期四年，从201</w:t>
      </w:r>
      <w:r>
        <w:rPr>
          <w:rFonts w:hint="eastAsia" w:ascii="仿宋_GB2312" w:hAnsi="宋体" w:eastAsia="仿宋_GB2312"/>
          <w:sz w:val="32"/>
          <w:szCs w:val="32"/>
          <w:lang w:val="en-US" w:eastAsia="zh-CN"/>
        </w:rPr>
        <w:t>9</w:t>
      </w:r>
      <w:r>
        <w:rPr>
          <w:rFonts w:hint="eastAsia" w:ascii="仿宋_GB2312" w:hAnsi="宋体" w:eastAsia="仿宋_GB2312"/>
          <w:sz w:val="32"/>
          <w:szCs w:val="32"/>
        </w:rPr>
        <w:t>年1月1日至20</w:t>
      </w:r>
      <w:r>
        <w:rPr>
          <w:rFonts w:hint="eastAsia" w:ascii="仿宋_GB2312" w:hAnsi="宋体" w:eastAsia="仿宋_GB2312"/>
          <w:sz w:val="32"/>
          <w:szCs w:val="32"/>
          <w:lang w:val="en-US" w:eastAsia="zh-CN"/>
        </w:rPr>
        <w:t>2</w:t>
      </w:r>
      <w:r>
        <w:rPr>
          <w:rFonts w:hint="eastAsia"/>
          <w:sz w:val="32"/>
          <w:szCs w:val="32"/>
          <w:lang w:val="en-US" w:eastAsia="zh-CN"/>
        </w:rPr>
        <w:t>2</w:t>
      </w:r>
      <w:r>
        <w:rPr>
          <w:rFonts w:hint="eastAsia" w:ascii="仿宋_GB2312" w:hAnsi="宋体" w:eastAsia="仿宋_GB2312"/>
          <w:sz w:val="32"/>
          <w:szCs w:val="32"/>
        </w:rPr>
        <w:t>年12月31日。</w:t>
      </w:r>
    </w:p>
    <w:p>
      <w:pPr>
        <w:pStyle w:val="27"/>
        <w:keepNext w:val="0"/>
        <w:keepLines w:val="0"/>
        <w:widowControl w:val="0"/>
        <w:numPr>
          <w:ilvl w:val="0"/>
          <w:numId w:val="3"/>
        </w:numPr>
        <w:spacing w:line="360" w:lineRule="auto"/>
        <w:ind w:left="0" w:firstLine="640"/>
        <w:rPr>
          <w:rFonts w:hint="eastAsia" w:ascii="仿宋_GB2312" w:hAnsi="宋体" w:eastAsia="仿宋_GB2312"/>
          <w:sz w:val="32"/>
          <w:szCs w:val="32"/>
        </w:rPr>
      </w:pPr>
      <w:r>
        <w:rPr>
          <w:rFonts w:hint="eastAsia" w:ascii="仿宋_GB2312" w:hAnsi="宋体" w:eastAsia="仿宋_GB2312"/>
          <w:sz w:val="32"/>
          <w:szCs w:val="32"/>
        </w:rPr>
        <w:t>根据《事业单位人事管理条例》，已来校连续工人满10年且距法定退休年龄不足十年者，本人提出申请，聘期从201</w:t>
      </w:r>
      <w:r>
        <w:rPr>
          <w:rFonts w:hint="eastAsia" w:ascii="仿宋_GB2312" w:hAnsi="宋体" w:eastAsia="仿宋_GB2312"/>
          <w:sz w:val="32"/>
          <w:szCs w:val="32"/>
          <w:lang w:val="en-US" w:eastAsia="zh-CN"/>
        </w:rPr>
        <w:t>9</w:t>
      </w:r>
      <w:r>
        <w:rPr>
          <w:rFonts w:hint="eastAsia" w:ascii="仿宋_GB2312" w:hAnsi="宋体" w:eastAsia="仿宋_GB2312"/>
          <w:sz w:val="32"/>
          <w:szCs w:val="32"/>
        </w:rPr>
        <w:t>年1月1日直接聘用至法定退休之日。</w:t>
      </w:r>
    </w:p>
    <w:p>
      <w:pPr>
        <w:pStyle w:val="27"/>
        <w:keepNext w:val="0"/>
        <w:keepLines w:val="0"/>
        <w:widowControl w:val="0"/>
        <w:numPr>
          <w:ilvl w:val="0"/>
          <w:numId w:val="3"/>
        </w:numPr>
        <w:spacing w:line="360" w:lineRule="auto"/>
        <w:ind w:left="0" w:firstLine="640"/>
        <w:rPr>
          <w:rFonts w:hint="eastAsia" w:ascii="仿宋_GB2312" w:hAnsi="宋体" w:eastAsia="仿宋_GB2312"/>
          <w:sz w:val="32"/>
          <w:szCs w:val="32"/>
        </w:rPr>
      </w:pPr>
      <w:r>
        <w:rPr>
          <w:rFonts w:hint="eastAsia" w:ascii="仿宋_GB2312" w:hAnsi="宋体" w:eastAsia="仿宋_GB2312"/>
          <w:sz w:val="32"/>
          <w:szCs w:val="32"/>
        </w:rPr>
        <w:t>201</w:t>
      </w:r>
      <w:r>
        <w:rPr>
          <w:rFonts w:hint="eastAsia" w:ascii="仿宋_GB2312" w:hAnsi="宋体" w:eastAsia="仿宋_GB2312"/>
          <w:sz w:val="32"/>
          <w:szCs w:val="32"/>
          <w:lang w:val="en-US" w:eastAsia="zh-CN"/>
        </w:rPr>
        <w:t>9</w:t>
      </w:r>
      <w:r>
        <w:rPr>
          <w:rFonts w:hint="eastAsia" w:ascii="仿宋_GB2312" w:hAnsi="宋体" w:eastAsia="仿宋_GB2312"/>
          <w:sz w:val="32"/>
          <w:szCs w:val="32"/>
        </w:rPr>
        <w:t>年1月1日后来校工作者聘期从来校正式报到之日至20</w:t>
      </w:r>
      <w:r>
        <w:rPr>
          <w:rFonts w:hint="eastAsia" w:ascii="仿宋_GB2312" w:hAnsi="宋体" w:eastAsia="仿宋_GB2312"/>
          <w:sz w:val="32"/>
          <w:szCs w:val="32"/>
          <w:lang w:val="en-US" w:eastAsia="zh-CN"/>
        </w:rPr>
        <w:t>2</w:t>
      </w:r>
      <w:r>
        <w:rPr>
          <w:rFonts w:hint="eastAsia"/>
          <w:sz w:val="32"/>
          <w:szCs w:val="32"/>
          <w:lang w:val="en-US" w:eastAsia="zh-CN"/>
        </w:rPr>
        <w:t>2</w:t>
      </w:r>
      <w:r>
        <w:rPr>
          <w:rFonts w:hint="eastAsia" w:ascii="仿宋_GB2312" w:hAnsi="宋体" w:eastAsia="仿宋_GB2312"/>
          <w:sz w:val="32"/>
          <w:szCs w:val="32"/>
        </w:rPr>
        <w:t>年12月31日。</w:t>
      </w:r>
    </w:p>
    <w:p>
      <w:pPr>
        <w:pStyle w:val="27"/>
        <w:keepNext w:val="0"/>
        <w:keepLines w:val="0"/>
        <w:widowControl w:val="0"/>
        <w:numPr>
          <w:ilvl w:val="0"/>
          <w:numId w:val="3"/>
        </w:numPr>
        <w:spacing w:line="360" w:lineRule="auto"/>
        <w:ind w:left="0" w:firstLine="640"/>
        <w:rPr>
          <w:rFonts w:hint="eastAsia" w:ascii="仿宋_GB2312" w:hAnsi="宋体" w:eastAsia="仿宋_GB2312"/>
          <w:b/>
          <w:sz w:val="32"/>
          <w:szCs w:val="32"/>
        </w:rPr>
      </w:pPr>
      <w:r>
        <w:rPr>
          <w:rFonts w:hint="eastAsia" w:ascii="仿宋_GB2312" w:hAnsi="宋体" w:eastAsia="仿宋_GB2312"/>
          <w:b/>
          <w:sz w:val="32"/>
          <w:szCs w:val="32"/>
        </w:rPr>
        <w:t xml:space="preserve"> </w:t>
      </w:r>
      <w:r>
        <w:rPr>
          <w:rFonts w:hint="eastAsia" w:ascii="仿宋_GB2312" w:hAnsi="宋体" w:eastAsia="仿宋_GB2312"/>
          <w:sz w:val="32"/>
          <w:szCs w:val="32"/>
        </w:rPr>
        <w:t>聘约管理</w:t>
      </w:r>
      <w:r>
        <w:rPr>
          <w:rFonts w:hint="eastAsia" w:ascii="仿宋_GB2312" w:hAnsi="宋体" w:eastAsia="仿宋_GB2312"/>
          <w:b/>
          <w:sz w:val="32"/>
          <w:szCs w:val="32"/>
        </w:rPr>
        <w:t xml:space="preserve">   </w:t>
      </w:r>
    </w:p>
    <w:p>
      <w:pPr>
        <w:pStyle w:val="10"/>
        <w:widowControl w:val="0"/>
        <w:tabs>
          <w:tab w:val="left" w:pos="540"/>
        </w:tabs>
        <w:spacing w:before="0" w:beforeAutospacing="0" w:after="0" w:afterAutospacing="0" w:line="360" w:lineRule="auto"/>
        <w:ind w:firstLine="640" w:firstLineChars="200"/>
        <w:jc w:val="both"/>
        <w:rPr>
          <w:rFonts w:hint="eastAsia" w:ascii="仿宋_GB2312" w:hAnsi="宋体" w:eastAsia="仿宋_GB2312"/>
          <w:sz w:val="32"/>
          <w:szCs w:val="32"/>
        </w:rPr>
      </w:pPr>
      <w:r>
        <w:rPr>
          <w:rFonts w:hint="eastAsia" w:ascii="仿宋_GB2312" w:hAnsi="宋体" w:eastAsia="仿宋_GB2312"/>
          <w:sz w:val="32"/>
          <w:szCs w:val="32"/>
        </w:rPr>
        <w:t>由学校与受聘教师在平等自愿、协商一致的基础上签订聘用合同，明确受聘岗位职责要求、工作条件、工资福利待遇、聘用合同变更、解除和终止的条件以及聘用合同期限等方面的内容。学校与受聘教师签订聘用合同时，可以按规定约定试用期。聘用合同期限内调整岗位的，应当对聘用合同的相关内容做出相应变更。聘用期一般为</w:t>
      </w:r>
      <w:r>
        <w:rPr>
          <w:rFonts w:eastAsia="仿宋_GB2312"/>
          <w:sz w:val="32"/>
          <w:szCs w:val="32"/>
        </w:rPr>
        <w:t>4</w:t>
      </w:r>
      <w:r>
        <w:rPr>
          <w:rFonts w:hint="eastAsia" w:ascii="仿宋_GB2312" w:hAnsi="宋体" w:eastAsia="仿宋_GB2312"/>
          <w:sz w:val="32"/>
          <w:szCs w:val="32"/>
        </w:rPr>
        <w:t>年。离国家法定退休年龄不足一个聘期的受聘教师按实际期限聘用。按国家规定达到退休年龄因教学科研工作需要且根据学校相关政策可延退的教授，身体健康，经本人书面申请，可在所聘用岗位上工作到学校批准的延退年限。</w:t>
      </w:r>
    </w:p>
    <w:p>
      <w:pPr>
        <w:pStyle w:val="27"/>
        <w:keepNext w:val="0"/>
        <w:keepLines w:val="0"/>
        <w:widowControl w:val="0"/>
        <w:numPr>
          <w:ilvl w:val="0"/>
          <w:numId w:val="3"/>
        </w:numPr>
        <w:spacing w:line="360" w:lineRule="auto"/>
        <w:ind w:left="0" w:firstLine="640"/>
        <w:rPr>
          <w:rFonts w:hint="eastAsia" w:ascii="仿宋_GB2312" w:hAnsi="宋体" w:eastAsia="仿宋_GB2312"/>
          <w:b/>
          <w:sz w:val="32"/>
          <w:szCs w:val="32"/>
          <w:lang w:val="en-US" w:eastAsia="zh-CN"/>
        </w:rPr>
      </w:pPr>
      <w:r>
        <w:rPr>
          <w:rFonts w:hint="eastAsia" w:ascii="仿宋_GB2312" w:hAnsi="宋体" w:eastAsia="仿宋_GB2312"/>
          <w:b/>
          <w:sz w:val="32"/>
          <w:szCs w:val="32"/>
          <w:lang w:val="en-US" w:eastAsia="zh-CN"/>
        </w:rPr>
        <w:t xml:space="preserve">岗位考核   </w:t>
      </w:r>
    </w:p>
    <w:p>
      <w:pPr>
        <w:pStyle w:val="10"/>
        <w:widowControl w:val="0"/>
        <w:tabs>
          <w:tab w:val="left" w:pos="540"/>
        </w:tabs>
        <w:spacing w:before="0" w:beforeAutospacing="0" w:after="0" w:afterAutospacing="0" w:line="360" w:lineRule="auto"/>
        <w:ind w:firstLine="640" w:firstLineChars="200"/>
        <w:jc w:val="both"/>
        <w:rPr>
          <w:rFonts w:hint="eastAsia" w:ascii="仿宋_GB2312" w:hAnsi="宋体" w:eastAsia="仿宋_GB2312"/>
          <w:sz w:val="32"/>
          <w:szCs w:val="32"/>
        </w:rPr>
      </w:pPr>
      <w:r>
        <w:rPr>
          <w:rFonts w:hint="eastAsia" w:ascii="仿宋_GB2312" w:hAnsi="宋体" w:eastAsia="仿宋_GB2312"/>
          <w:sz w:val="32"/>
          <w:szCs w:val="32"/>
        </w:rPr>
        <w:t>考核分为年度考核和聘期考核，以聘期考核为主。年度考核按照相应岗位的职责进行，考核聘用人员的思想政治表现、职业道德、工作态度、履行岗位职责和聘用合同的情况，重点是工作业绩。实行职业道德考核一票否决制。考核结果记入档案，作为岗位变动、奖惩和续聘或解聘的依据。聘用合同期满前，严格按照相应岗位的职责进行聘期考核，根据考核结果及时做出续聘、岗位调整或解聘的决定。</w:t>
      </w:r>
    </w:p>
    <w:p>
      <w:pPr>
        <w:pStyle w:val="27"/>
        <w:keepNext w:val="0"/>
        <w:keepLines w:val="0"/>
        <w:widowControl w:val="0"/>
        <w:numPr>
          <w:ilvl w:val="0"/>
          <w:numId w:val="3"/>
        </w:numPr>
        <w:spacing w:line="360" w:lineRule="auto"/>
        <w:ind w:left="0" w:firstLine="640"/>
        <w:rPr>
          <w:rFonts w:hint="eastAsia" w:ascii="仿宋_GB2312" w:hAnsi="宋体" w:eastAsia="仿宋_GB2312"/>
          <w:sz w:val="32"/>
          <w:szCs w:val="32"/>
        </w:rPr>
      </w:pPr>
      <w:r>
        <w:rPr>
          <w:rFonts w:hint="eastAsia" w:ascii="仿宋_GB2312" w:hAnsi="宋体" w:eastAsia="仿宋_GB2312"/>
          <w:b/>
          <w:sz w:val="32"/>
          <w:szCs w:val="32"/>
        </w:rPr>
        <w:t xml:space="preserve"> </w:t>
      </w:r>
      <w:r>
        <w:rPr>
          <w:rFonts w:hint="eastAsia" w:ascii="仿宋_GB2312" w:hAnsi="宋体" w:eastAsia="仿宋_GB2312"/>
          <w:sz w:val="32"/>
          <w:szCs w:val="32"/>
        </w:rPr>
        <w:t>按学校规定，新评专业技术资格教师在有空缺岗位的条件下，按照岗位条件聘用到相应岗位等级，一般为同级别专业技术岗位的最低等级。为适应学校发展和学科建设需要，对当年新引进的优秀拔尖人才和部分教师主要岗位，由校长提名，按照相关程序确定其岗位等级并聘任到相关岗位。</w:t>
      </w:r>
    </w:p>
    <w:p>
      <w:pPr>
        <w:pStyle w:val="27"/>
        <w:keepNext w:val="0"/>
        <w:keepLines w:val="0"/>
        <w:widowControl w:val="0"/>
        <w:numPr>
          <w:ilvl w:val="0"/>
          <w:numId w:val="3"/>
        </w:numPr>
        <w:spacing w:line="360" w:lineRule="auto"/>
        <w:ind w:left="0" w:firstLine="640"/>
        <w:rPr>
          <w:rFonts w:hint="eastAsia" w:ascii="仿宋_GB2312" w:hAnsi="宋体" w:eastAsia="仿宋_GB2312"/>
          <w:sz w:val="32"/>
          <w:szCs w:val="32"/>
        </w:rPr>
      </w:pPr>
      <w:r>
        <w:rPr>
          <w:rFonts w:hint="eastAsia" w:ascii="仿宋_GB2312" w:hAnsi="宋体" w:eastAsia="仿宋_GB2312"/>
          <w:sz w:val="32"/>
          <w:szCs w:val="32"/>
        </w:rPr>
        <w:t>经学校批准出国的教师，在出国期间保留其岗位，逾期未回国者，学校不再保留其岗位。</w:t>
      </w:r>
    </w:p>
    <w:p>
      <w:pPr>
        <w:pStyle w:val="27"/>
        <w:keepNext w:val="0"/>
        <w:keepLines w:val="0"/>
        <w:widowControl w:val="0"/>
        <w:numPr>
          <w:ilvl w:val="0"/>
          <w:numId w:val="3"/>
        </w:numPr>
        <w:spacing w:line="520" w:lineRule="exact"/>
        <w:ind w:left="0" w:firstLine="640"/>
        <w:rPr>
          <w:rFonts w:hint="eastAsia" w:ascii="仿宋_GB2312" w:hAnsi="宋体" w:eastAsia="仿宋_GB2312"/>
          <w:sz w:val="32"/>
          <w:szCs w:val="32"/>
        </w:rPr>
      </w:pPr>
      <w:r>
        <w:rPr>
          <w:rFonts w:hint="eastAsia" w:ascii="仿宋_GB2312" w:hAnsi="宋体" w:eastAsia="仿宋_GB2312"/>
          <w:b/>
          <w:sz w:val="32"/>
          <w:szCs w:val="32"/>
        </w:rPr>
        <w:t xml:space="preserve"> </w:t>
      </w:r>
      <w:r>
        <w:rPr>
          <w:rFonts w:hint="eastAsia" w:ascii="仿宋_GB2312" w:hAnsi="宋体" w:eastAsia="仿宋_GB2312"/>
          <w:sz w:val="32"/>
          <w:szCs w:val="32"/>
        </w:rPr>
        <w:t>按学校规定，</w:t>
      </w:r>
      <w:r>
        <w:t>中级及以下教师岗位实行“非升即转”制度。从实施岗位设置管理和全员聘任制开始，若任初级岗位达</w:t>
      </w:r>
      <w:r>
        <w:rPr>
          <w:rFonts w:ascii="Times New Roman" w:hAnsi="Times New Roman"/>
        </w:rPr>
        <w:t>8</w:t>
      </w:r>
      <w:r>
        <w:t>年，中级岗位达</w:t>
      </w:r>
      <w:r>
        <w:rPr>
          <w:rFonts w:ascii="Times New Roman" w:hAnsi="Times New Roman"/>
        </w:rPr>
        <w:t>12</w:t>
      </w:r>
      <w:r>
        <w:rPr>
          <w:rFonts w:hint="eastAsia"/>
        </w:rPr>
        <w:t>年以上仍不能满足晋升高一级专业技术资格条件的人员不再续聘教师岗位。符合其它岗位规定的聘任条件者可以申请竞聘其它岗位或调离学校。</w:t>
      </w:r>
    </w:p>
    <w:p>
      <w:pPr>
        <w:pStyle w:val="24"/>
        <w:keepNext w:val="0"/>
        <w:keepLines w:val="0"/>
        <w:numPr>
          <w:ilvl w:val="0"/>
          <w:numId w:val="2"/>
        </w:numPr>
        <w:spacing w:before="312" w:after="312" w:line="560" w:lineRule="exact"/>
        <w:rPr>
          <w:rFonts w:hAnsi="仿宋"/>
        </w:rPr>
      </w:pPr>
      <w:r>
        <w:rPr>
          <w:rFonts w:hint="eastAsia" w:hAnsi="仿宋"/>
        </w:rPr>
        <w:t>附</w:t>
      </w:r>
      <w:r>
        <w:rPr>
          <w:rFonts w:hAnsi="仿宋"/>
        </w:rPr>
        <w:t xml:space="preserve">  </w:t>
      </w:r>
      <w:r>
        <w:rPr>
          <w:rFonts w:hint="eastAsia" w:hAnsi="仿宋"/>
        </w:rPr>
        <w:t>则</w:t>
      </w:r>
    </w:p>
    <w:p>
      <w:pPr>
        <w:pStyle w:val="27"/>
        <w:keepNext w:val="0"/>
        <w:keepLines w:val="0"/>
        <w:widowControl w:val="0"/>
        <w:numPr>
          <w:ilvl w:val="0"/>
          <w:numId w:val="3"/>
        </w:numPr>
        <w:ind w:left="0" w:firstLine="640"/>
      </w:pPr>
      <w:r>
        <w:rPr>
          <w:rFonts w:hint="eastAsia"/>
        </w:rPr>
        <w:t xml:space="preserve">  “论文”均指以通讯作者或以第一作者发表的本专业学术论文，如有多名并列第一作者应排名首位，如有多名并列通讯作者应排名最后一位。</w:t>
      </w:r>
    </w:p>
    <w:p>
      <w:pPr>
        <w:pStyle w:val="27"/>
        <w:keepNext w:val="0"/>
        <w:keepLines w:val="0"/>
        <w:widowControl w:val="0"/>
        <w:numPr>
          <w:ilvl w:val="0"/>
          <w:numId w:val="3"/>
        </w:numPr>
        <w:ind w:left="0" w:firstLine="640"/>
      </w:pPr>
      <w:r>
        <w:rPr>
          <w:rFonts w:hint="eastAsia"/>
        </w:rPr>
        <w:t xml:space="preserve">  主持或参与的科研项目、出版著作教材要与本专业相关，参加指排名前</w:t>
      </w:r>
      <w:r>
        <w:rPr>
          <w:rFonts w:ascii="Times New Roman" w:hAnsi="Times New Roman" w:cs="Times New Roman"/>
        </w:rPr>
        <w:t>5</w:t>
      </w:r>
      <w:r>
        <w:rPr>
          <w:rFonts w:hint="eastAsia"/>
        </w:rPr>
        <w:t>，主要参加（参与）指排名前</w:t>
      </w:r>
      <w:r>
        <w:rPr>
          <w:rFonts w:ascii="Times New Roman" w:hAnsi="Times New Roman" w:cs="Times New Roman"/>
        </w:rPr>
        <w:t>3</w:t>
      </w:r>
      <w:r>
        <w:rPr>
          <w:rFonts w:hint="eastAsia"/>
        </w:rPr>
        <w:t>，完成学术著作指个人独著或第一主编。</w:t>
      </w:r>
    </w:p>
    <w:p>
      <w:pPr>
        <w:pStyle w:val="27"/>
        <w:keepNext w:val="0"/>
        <w:keepLines w:val="0"/>
        <w:widowControl w:val="0"/>
        <w:numPr>
          <w:ilvl w:val="0"/>
          <w:numId w:val="3"/>
        </w:numPr>
        <w:ind w:left="0" w:firstLine="640"/>
      </w:pPr>
      <w:r>
        <w:rPr>
          <w:rFonts w:hint="eastAsia"/>
        </w:rPr>
        <w:t xml:space="preserve">  </w:t>
      </w:r>
      <w:r>
        <w:rPr>
          <w:rFonts w:ascii="Times New Roman" w:hAnsi="Times New Roman" w:cs="Times New Roman"/>
        </w:rPr>
        <w:t>SCI、EI、SSCI、A&amp;HCI</w:t>
      </w:r>
      <w:r>
        <w:rPr>
          <w:rFonts w:hint="eastAsia"/>
        </w:rPr>
        <w:t>等各种索引收录论文必须是全文发表的期刊论文，</w:t>
      </w:r>
      <w:r>
        <w:rPr>
          <w:rFonts w:ascii="Times New Roman" w:hAnsi="Times New Roman" w:cs="Times New Roman"/>
        </w:rPr>
        <w:t>EI</w:t>
      </w:r>
      <w:r>
        <w:rPr>
          <w:rFonts w:hint="eastAsia"/>
        </w:rPr>
        <w:t>收录的论文必须是期刊上发表的论文（检索类型</w:t>
      </w:r>
      <w:r>
        <w:rPr>
          <w:rFonts w:ascii="Times New Roman" w:hAnsi="Times New Roman" w:cs="Times New Roman"/>
        </w:rPr>
        <w:t>JA</w:t>
      </w:r>
      <w:r>
        <w:t>）</w:t>
      </w:r>
      <w:r>
        <w:rPr>
          <w:rFonts w:hint="eastAsia"/>
        </w:rPr>
        <w:t>。</w:t>
      </w:r>
    </w:p>
    <w:p>
      <w:pPr>
        <w:pStyle w:val="27"/>
        <w:keepNext w:val="0"/>
        <w:keepLines w:val="0"/>
        <w:widowControl w:val="0"/>
        <w:numPr>
          <w:ilvl w:val="0"/>
          <w:numId w:val="3"/>
        </w:numPr>
        <w:ind w:left="0" w:firstLine="640"/>
      </w:pPr>
      <w:r>
        <w:rPr>
          <w:rFonts w:hint="eastAsia"/>
        </w:rPr>
        <w:t xml:space="preserve">  凡标明有“以上”的均含本级或本数量。如“四年以上”含四年。</w:t>
      </w:r>
    </w:p>
    <w:p>
      <w:pPr>
        <w:pStyle w:val="27"/>
        <w:keepNext w:val="0"/>
        <w:keepLines w:val="0"/>
        <w:widowControl w:val="0"/>
        <w:numPr>
          <w:ilvl w:val="0"/>
          <w:numId w:val="3"/>
        </w:numPr>
        <w:ind w:left="0" w:firstLine="640"/>
      </w:pPr>
      <w:r>
        <w:rPr>
          <w:rFonts w:hint="eastAsia"/>
        </w:rPr>
        <w:t xml:space="preserve">  科研项目和学术刊物的级别界定等均按现行《华南农业大学专业技术资格评审办法》的规定确定；学生参加竞赛获奖等次参照现行《华南农业大学大学生学科竞赛奖励办法》执行。</w:t>
      </w:r>
    </w:p>
    <w:p>
      <w:pPr>
        <w:pStyle w:val="27"/>
        <w:keepNext w:val="0"/>
        <w:keepLines w:val="0"/>
        <w:widowControl w:val="0"/>
        <w:numPr>
          <w:ilvl w:val="0"/>
          <w:numId w:val="3"/>
        </w:numPr>
        <w:ind w:left="0" w:firstLine="640"/>
      </w:pPr>
      <w:r>
        <w:rPr>
          <w:rFonts w:hint="eastAsia"/>
        </w:rPr>
        <w:t xml:space="preserve">  </w:t>
      </w:r>
      <w:r>
        <w:t>本办法未尽事宜按上级文件和学校有关规定执行。</w:t>
      </w:r>
    </w:p>
    <w:p>
      <w:pPr>
        <w:pStyle w:val="27"/>
        <w:keepNext w:val="0"/>
        <w:keepLines w:val="0"/>
        <w:widowControl w:val="0"/>
        <w:numPr>
          <w:ilvl w:val="0"/>
          <w:numId w:val="3"/>
        </w:numPr>
        <w:ind w:left="0" w:firstLine="640"/>
      </w:pPr>
      <w:r>
        <w:rPr>
          <w:rFonts w:hint="eastAsia"/>
        </w:rPr>
        <w:t xml:space="preserve">  </w:t>
      </w:r>
      <w:r>
        <w:t>本办法由</w:t>
      </w:r>
      <w:r>
        <w:rPr>
          <w:rFonts w:hint="eastAsia"/>
          <w:lang w:val="en-US" w:eastAsia="zh-CN"/>
        </w:rPr>
        <w:t>公共管理学院</w:t>
      </w:r>
      <w:r>
        <w:rPr>
          <w:rFonts w:hint="eastAsia" w:ascii="仿宋_GB2312" w:eastAsia="仿宋_GB2312"/>
          <w:sz w:val="32"/>
          <w:szCs w:val="32"/>
        </w:rPr>
        <w:t>岗位设置管理和人员聘用工作领导小组</w:t>
      </w:r>
      <w:r>
        <w:t>负责解释。</w:t>
      </w:r>
    </w:p>
    <w:p>
      <w:pPr>
        <w:pStyle w:val="27"/>
        <w:keepNext w:val="0"/>
        <w:keepLines w:val="0"/>
        <w:widowControl w:val="0"/>
        <w:numPr>
          <w:ilvl w:val="0"/>
          <w:numId w:val="3"/>
        </w:numPr>
        <w:ind w:left="0" w:firstLine="640"/>
      </w:pPr>
      <w:r>
        <w:rPr>
          <w:rFonts w:hint="eastAsia"/>
        </w:rPr>
        <w:t xml:space="preserve">  </w:t>
      </w:r>
      <w:r>
        <w:t>本办法</w:t>
      </w:r>
      <w:r>
        <w:rPr>
          <w:rFonts w:hint="eastAsia"/>
          <w:lang w:val="en-US" w:eastAsia="zh-CN"/>
        </w:rPr>
        <w:t>经学校审核同意，自</w:t>
      </w:r>
      <w:r>
        <w:t>印发之日起执行，凡学</w:t>
      </w:r>
      <w:r>
        <w:rPr>
          <w:rFonts w:hint="eastAsia"/>
          <w:lang w:val="en-US" w:eastAsia="zh-CN"/>
        </w:rPr>
        <w:t>院</w:t>
      </w:r>
      <w:r>
        <w:t>之前发布的管理</w:t>
      </w:r>
      <w:r>
        <w:rPr>
          <w:rFonts w:hint="eastAsia"/>
          <w:lang w:val="en-US" w:eastAsia="zh-CN"/>
        </w:rPr>
        <w:t>规定</w:t>
      </w:r>
      <w:r>
        <w:t>与本办法不相一致的，按本办法执行。</w:t>
      </w:r>
    </w:p>
    <w:p>
      <w:pPr>
        <w:pStyle w:val="27"/>
        <w:keepNext w:val="0"/>
        <w:keepLines w:val="0"/>
        <w:widowControl w:val="0"/>
        <w:numPr>
          <w:ilvl w:val="0"/>
          <w:numId w:val="0"/>
        </w:numPr>
        <w:ind w:leftChars="200"/>
        <w:rPr>
          <w:rFonts w:hint="eastAsia"/>
          <w:lang w:val="en-US" w:eastAsia="zh-CN"/>
        </w:rPr>
      </w:pPr>
      <w:r>
        <w:rPr>
          <w:rFonts w:hint="eastAsia"/>
          <w:lang w:val="en-US" w:eastAsia="zh-CN"/>
        </w:rPr>
        <w:t xml:space="preserve"> </w:t>
      </w:r>
    </w:p>
    <w:p>
      <w:pPr>
        <w:pStyle w:val="27"/>
        <w:keepNext w:val="0"/>
        <w:keepLines w:val="0"/>
        <w:widowControl w:val="0"/>
        <w:numPr>
          <w:ilvl w:val="0"/>
          <w:numId w:val="0"/>
        </w:numPr>
        <w:ind w:leftChars="200"/>
        <w:jc w:val="right"/>
        <w:rPr>
          <w:rFonts w:hint="eastAsia"/>
          <w:lang w:val="en-US" w:eastAsia="zh-CN"/>
        </w:rPr>
      </w:pPr>
      <w:r>
        <w:rPr>
          <w:rFonts w:hint="eastAsia"/>
          <w:lang w:val="en-US" w:eastAsia="zh-CN"/>
        </w:rPr>
        <w:t>华南农业大学公共管理学院</w:t>
      </w:r>
    </w:p>
    <w:p>
      <w:pPr>
        <w:pStyle w:val="27"/>
        <w:keepNext w:val="0"/>
        <w:keepLines w:val="0"/>
        <w:widowControl w:val="0"/>
        <w:numPr>
          <w:ilvl w:val="0"/>
          <w:numId w:val="0"/>
        </w:numPr>
        <w:ind w:leftChars="200"/>
        <w:jc w:val="right"/>
        <w:rPr>
          <w:rFonts w:hint="default" w:eastAsia="仿宋_GB2312"/>
          <w:lang w:val="en-US" w:eastAsia="zh-CN"/>
        </w:rPr>
      </w:pPr>
      <w:r>
        <w:rPr>
          <w:rFonts w:hint="eastAsia"/>
          <w:lang w:val="en-US" w:eastAsia="zh-CN"/>
        </w:rPr>
        <w:t>2019年9月9日</w:t>
      </w:r>
    </w:p>
    <w:sectPr>
      <w:footerReference r:id="rId3" w:type="default"/>
      <w:footerReference r:id="rId4" w:type="even"/>
      <w:pgSz w:w="11906" w:h="16838"/>
      <w:pgMar w:top="2098" w:right="1418" w:bottom="1418"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140" w:firstLineChars="50"/>
      <w:jc w:val="right"/>
    </w:pPr>
    <w:r>
      <w:rPr>
        <w:rStyle w:val="13"/>
        <w:rFonts w:ascii="宋体" w:hAnsi="宋体"/>
        <w:sz w:val="28"/>
        <w:szCs w:val="28"/>
      </w:rPr>
      <w:t>—</w:t>
    </w:r>
    <w:r>
      <w:rPr>
        <w:rStyle w:val="13"/>
        <w:rFonts w:ascii="宋体" w:hAnsi="宋体"/>
        <w:sz w:val="28"/>
        <w:szCs w:val="28"/>
      </w:rPr>
      <w:fldChar w:fldCharType="begin"/>
    </w:r>
    <w:r>
      <w:rPr>
        <w:rStyle w:val="13"/>
        <w:rFonts w:ascii="宋体" w:hAnsi="宋体"/>
        <w:sz w:val="28"/>
        <w:szCs w:val="28"/>
      </w:rPr>
      <w:instrText xml:space="preserve">PAGE  </w:instrText>
    </w:r>
    <w:r>
      <w:rPr>
        <w:rStyle w:val="13"/>
        <w:rFonts w:ascii="宋体" w:hAnsi="宋体"/>
        <w:sz w:val="28"/>
        <w:szCs w:val="28"/>
      </w:rPr>
      <w:fldChar w:fldCharType="separate"/>
    </w:r>
    <w:r>
      <w:rPr>
        <w:rStyle w:val="13"/>
        <w:rFonts w:ascii="宋体" w:hAnsi="宋体"/>
        <w:sz w:val="28"/>
        <w:szCs w:val="28"/>
      </w:rPr>
      <w:t>1</w:t>
    </w:r>
    <w:r>
      <w:rPr>
        <w:rStyle w:val="13"/>
        <w:rFonts w:ascii="宋体" w:hAnsi="宋体"/>
        <w:sz w:val="28"/>
        <w:szCs w:val="28"/>
      </w:rPr>
      <w:fldChar w:fldCharType="end"/>
    </w:r>
    <w:r>
      <w:rPr>
        <w:rStyle w:val="13"/>
        <w:rFonts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140" w:firstLineChars="50"/>
    </w:pPr>
    <w:r>
      <w:rPr>
        <w:rStyle w:val="13"/>
        <w:rFonts w:ascii="宋体" w:hAnsi="宋体"/>
        <w:sz w:val="28"/>
        <w:szCs w:val="28"/>
      </w:rPr>
      <w:t>—</w:t>
    </w:r>
    <w:r>
      <w:rPr>
        <w:rStyle w:val="13"/>
        <w:rFonts w:ascii="宋体" w:hAnsi="宋体"/>
        <w:sz w:val="28"/>
        <w:szCs w:val="28"/>
      </w:rPr>
      <w:fldChar w:fldCharType="begin"/>
    </w:r>
    <w:r>
      <w:rPr>
        <w:rStyle w:val="13"/>
        <w:rFonts w:ascii="宋体" w:hAnsi="宋体"/>
        <w:sz w:val="28"/>
        <w:szCs w:val="28"/>
      </w:rPr>
      <w:instrText xml:space="preserve">PAGE  </w:instrText>
    </w:r>
    <w:r>
      <w:rPr>
        <w:rStyle w:val="13"/>
        <w:rFonts w:ascii="宋体" w:hAnsi="宋体"/>
        <w:sz w:val="28"/>
        <w:szCs w:val="28"/>
      </w:rPr>
      <w:fldChar w:fldCharType="separate"/>
    </w:r>
    <w:r>
      <w:rPr>
        <w:rStyle w:val="13"/>
        <w:rFonts w:ascii="宋体" w:hAnsi="宋体"/>
        <w:sz w:val="28"/>
        <w:szCs w:val="28"/>
      </w:rPr>
      <w:t>10</w:t>
    </w:r>
    <w:r>
      <w:rPr>
        <w:rStyle w:val="13"/>
        <w:rFonts w:ascii="宋体" w:hAnsi="宋体"/>
        <w:sz w:val="28"/>
        <w:szCs w:val="28"/>
      </w:rPr>
      <w:fldChar w:fldCharType="end"/>
    </w:r>
    <w:r>
      <w:rPr>
        <w:rStyle w:val="13"/>
        <w:rFonts w:ascii="宋体" w:hAnsi="宋体"/>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05680"/>
    <w:multiLevelType w:val="multilevel"/>
    <w:tmpl w:val="1F605680"/>
    <w:lvl w:ilvl="0" w:tentative="0">
      <w:start w:val="1"/>
      <w:numFmt w:val="chineseCountingThousand"/>
      <w:lvlText w:val="第%1条"/>
      <w:lvlJc w:val="left"/>
      <w:pPr>
        <w:ind w:left="7509" w:hanging="420"/>
      </w:pPr>
      <w:rPr>
        <w:rFonts w:hint="default"/>
        <w:b/>
        <w:i w:val="0"/>
        <w:sz w:val="32"/>
      </w:rPr>
    </w:lvl>
    <w:lvl w:ilvl="1" w:tentative="0">
      <w:start w:val="1"/>
      <w:numFmt w:val="lowerLetter"/>
      <w:lvlText w:val="%2)"/>
      <w:lvlJc w:val="left"/>
      <w:pPr>
        <w:ind w:left="2543" w:hanging="420"/>
      </w:pPr>
    </w:lvl>
    <w:lvl w:ilvl="2" w:tentative="0">
      <w:start w:val="1"/>
      <w:numFmt w:val="lowerRoman"/>
      <w:lvlText w:val="%3."/>
      <w:lvlJc w:val="right"/>
      <w:pPr>
        <w:ind w:left="2963" w:hanging="420"/>
      </w:pPr>
    </w:lvl>
    <w:lvl w:ilvl="3" w:tentative="0">
      <w:start w:val="1"/>
      <w:numFmt w:val="decimal"/>
      <w:lvlText w:val="%4."/>
      <w:lvlJc w:val="left"/>
      <w:pPr>
        <w:ind w:left="3383" w:hanging="420"/>
      </w:pPr>
    </w:lvl>
    <w:lvl w:ilvl="4" w:tentative="0">
      <w:start w:val="1"/>
      <w:numFmt w:val="lowerLetter"/>
      <w:lvlText w:val="%5)"/>
      <w:lvlJc w:val="left"/>
      <w:pPr>
        <w:ind w:left="3803" w:hanging="420"/>
      </w:pPr>
    </w:lvl>
    <w:lvl w:ilvl="5" w:tentative="0">
      <w:start w:val="1"/>
      <w:numFmt w:val="lowerRoman"/>
      <w:lvlText w:val="%6."/>
      <w:lvlJc w:val="right"/>
      <w:pPr>
        <w:ind w:left="4223" w:hanging="420"/>
      </w:pPr>
    </w:lvl>
    <w:lvl w:ilvl="6" w:tentative="0">
      <w:start w:val="1"/>
      <w:numFmt w:val="decimal"/>
      <w:lvlText w:val="%7."/>
      <w:lvlJc w:val="left"/>
      <w:pPr>
        <w:ind w:left="4643" w:hanging="420"/>
      </w:pPr>
    </w:lvl>
    <w:lvl w:ilvl="7" w:tentative="0">
      <w:start w:val="1"/>
      <w:numFmt w:val="lowerLetter"/>
      <w:lvlText w:val="%8)"/>
      <w:lvlJc w:val="left"/>
      <w:pPr>
        <w:ind w:left="5063" w:hanging="420"/>
      </w:pPr>
    </w:lvl>
    <w:lvl w:ilvl="8" w:tentative="0">
      <w:start w:val="1"/>
      <w:numFmt w:val="lowerRoman"/>
      <w:lvlText w:val="%9."/>
      <w:lvlJc w:val="right"/>
      <w:pPr>
        <w:ind w:left="5483" w:hanging="420"/>
      </w:pPr>
    </w:lvl>
  </w:abstractNum>
  <w:abstractNum w:abstractNumId="1">
    <w:nsid w:val="361F0B2F"/>
    <w:multiLevelType w:val="multilevel"/>
    <w:tmpl w:val="361F0B2F"/>
    <w:lvl w:ilvl="0" w:tentative="0">
      <w:start w:val="1"/>
      <w:numFmt w:val="japaneseCounting"/>
      <w:lvlText w:val="第%1章"/>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EA67D71"/>
    <w:multiLevelType w:val="multilevel"/>
    <w:tmpl w:val="7EA67D71"/>
    <w:lvl w:ilvl="0" w:tentative="0">
      <w:start w:val="1"/>
      <w:numFmt w:val="japaneseCounting"/>
      <w:lvlText w:val="第%1条"/>
      <w:lvlJc w:val="left"/>
      <w:pPr>
        <w:ind w:left="4957" w:hanging="420"/>
      </w:pPr>
      <w:rPr>
        <w:rFonts w:hint="default"/>
        <w:b/>
        <w:lang w:val="en-US"/>
      </w:rPr>
    </w:lvl>
    <w:lvl w:ilvl="1" w:tentative="0">
      <w:start w:val="1"/>
      <w:numFmt w:val="decimal"/>
      <w:pStyle w:val="29"/>
      <w:lvlText w:val="%2."/>
      <w:lvlJc w:val="left"/>
      <w:pPr>
        <w:ind w:left="188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2" w:tentative="0">
      <w:start w:val="1"/>
      <w:numFmt w:val="decimal"/>
      <w:lvlText w:val="%3."/>
      <w:lvlJc w:val="left"/>
      <w:pPr>
        <w:ind w:left="2300" w:hanging="360"/>
      </w:pPr>
      <w:rPr>
        <w:rFonts w:hint="default"/>
      </w:rPr>
    </w:lvl>
    <w:lvl w:ilvl="3" w:tentative="0">
      <w:start w:val="1"/>
      <w:numFmt w:val="decimal"/>
      <w:lvlText w:val="%4."/>
      <w:lvlJc w:val="left"/>
      <w:pPr>
        <w:ind w:left="2780" w:hanging="420"/>
      </w:pPr>
    </w:lvl>
    <w:lvl w:ilvl="4" w:tentative="0">
      <w:start w:val="1"/>
      <w:numFmt w:val="lowerLetter"/>
      <w:lvlText w:val="%5)"/>
      <w:lvlJc w:val="left"/>
      <w:pPr>
        <w:ind w:left="3200" w:hanging="420"/>
      </w:pPr>
    </w:lvl>
    <w:lvl w:ilvl="5" w:tentative="0">
      <w:start w:val="1"/>
      <w:numFmt w:val="lowerRoman"/>
      <w:lvlText w:val="%6."/>
      <w:lvlJc w:val="right"/>
      <w:pPr>
        <w:ind w:left="3620" w:hanging="420"/>
      </w:pPr>
    </w:lvl>
    <w:lvl w:ilvl="6" w:tentative="0">
      <w:start w:val="1"/>
      <w:numFmt w:val="decimal"/>
      <w:lvlText w:val="%7."/>
      <w:lvlJc w:val="left"/>
      <w:pPr>
        <w:ind w:left="4040" w:hanging="420"/>
      </w:pPr>
    </w:lvl>
    <w:lvl w:ilvl="7" w:tentative="0">
      <w:start w:val="1"/>
      <w:numFmt w:val="lowerLetter"/>
      <w:lvlText w:val="%8)"/>
      <w:lvlJc w:val="left"/>
      <w:pPr>
        <w:ind w:left="4460" w:hanging="420"/>
      </w:pPr>
    </w:lvl>
    <w:lvl w:ilvl="8" w:tentative="0">
      <w:start w:val="1"/>
      <w:numFmt w:val="lowerRoman"/>
      <w:lvlText w:val="%9."/>
      <w:lvlJc w:val="right"/>
      <w:pPr>
        <w:ind w:left="48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69F"/>
    <w:rsid w:val="00001531"/>
    <w:rsid w:val="000015B4"/>
    <w:rsid w:val="00002180"/>
    <w:rsid w:val="0000359C"/>
    <w:rsid w:val="00004D1D"/>
    <w:rsid w:val="00011B75"/>
    <w:rsid w:val="000165C5"/>
    <w:rsid w:val="0002049F"/>
    <w:rsid w:val="00020DCB"/>
    <w:rsid w:val="00023226"/>
    <w:rsid w:val="0002582C"/>
    <w:rsid w:val="0004081F"/>
    <w:rsid w:val="00040EAE"/>
    <w:rsid w:val="0004591B"/>
    <w:rsid w:val="000475CA"/>
    <w:rsid w:val="00051025"/>
    <w:rsid w:val="0005142E"/>
    <w:rsid w:val="00054628"/>
    <w:rsid w:val="00055404"/>
    <w:rsid w:val="00061C99"/>
    <w:rsid w:val="00061FD6"/>
    <w:rsid w:val="0007516F"/>
    <w:rsid w:val="00083651"/>
    <w:rsid w:val="00083BB1"/>
    <w:rsid w:val="00084D71"/>
    <w:rsid w:val="00085597"/>
    <w:rsid w:val="00093F3F"/>
    <w:rsid w:val="000A36F0"/>
    <w:rsid w:val="000A610B"/>
    <w:rsid w:val="000A73CC"/>
    <w:rsid w:val="000B182C"/>
    <w:rsid w:val="000B1DAB"/>
    <w:rsid w:val="000B3AA7"/>
    <w:rsid w:val="000B5FC1"/>
    <w:rsid w:val="000C4198"/>
    <w:rsid w:val="000C53AC"/>
    <w:rsid w:val="000C5426"/>
    <w:rsid w:val="000C6AE2"/>
    <w:rsid w:val="000D5D9D"/>
    <w:rsid w:val="000D7515"/>
    <w:rsid w:val="000D7A7C"/>
    <w:rsid w:val="000E1945"/>
    <w:rsid w:val="000F16A8"/>
    <w:rsid w:val="000F36FD"/>
    <w:rsid w:val="00100350"/>
    <w:rsid w:val="00100758"/>
    <w:rsid w:val="00103E68"/>
    <w:rsid w:val="00110A7F"/>
    <w:rsid w:val="00111E3F"/>
    <w:rsid w:val="0011207C"/>
    <w:rsid w:val="00112453"/>
    <w:rsid w:val="00112F8E"/>
    <w:rsid w:val="00120455"/>
    <w:rsid w:val="001213C1"/>
    <w:rsid w:val="00122250"/>
    <w:rsid w:val="00122FA4"/>
    <w:rsid w:val="00141343"/>
    <w:rsid w:val="00141483"/>
    <w:rsid w:val="001439A8"/>
    <w:rsid w:val="001453B0"/>
    <w:rsid w:val="001508BE"/>
    <w:rsid w:val="00150A90"/>
    <w:rsid w:val="00151512"/>
    <w:rsid w:val="00151680"/>
    <w:rsid w:val="001528DF"/>
    <w:rsid w:val="00155E04"/>
    <w:rsid w:val="00161B87"/>
    <w:rsid w:val="0016276A"/>
    <w:rsid w:val="0016287B"/>
    <w:rsid w:val="0016325C"/>
    <w:rsid w:val="00164201"/>
    <w:rsid w:val="00164DE1"/>
    <w:rsid w:val="001675F2"/>
    <w:rsid w:val="00171179"/>
    <w:rsid w:val="001752E4"/>
    <w:rsid w:val="0018000B"/>
    <w:rsid w:val="00180B68"/>
    <w:rsid w:val="001839C7"/>
    <w:rsid w:val="0019042D"/>
    <w:rsid w:val="0019044C"/>
    <w:rsid w:val="001937B1"/>
    <w:rsid w:val="00194A42"/>
    <w:rsid w:val="00195BCA"/>
    <w:rsid w:val="00195D14"/>
    <w:rsid w:val="0019636C"/>
    <w:rsid w:val="001A02AB"/>
    <w:rsid w:val="001A1DF1"/>
    <w:rsid w:val="001A2FF3"/>
    <w:rsid w:val="001A57F9"/>
    <w:rsid w:val="001A5F6C"/>
    <w:rsid w:val="001A62FD"/>
    <w:rsid w:val="001A737F"/>
    <w:rsid w:val="001A7AE4"/>
    <w:rsid w:val="001B4BC8"/>
    <w:rsid w:val="001B5749"/>
    <w:rsid w:val="001C4A4C"/>
    <w:rsid w:val="001C7429"/>
    <w:rsid w:val="001D238A"/>
    <w:rsid w:val="001E43B7"/>
    <w:rsid w:val="001E7EB8"/>
    <w:rsid w:val="001F0249"/>
    <w:rsid w:val="001F087B"/>
    <w:rsid w:val="001F3775"/>
    <w:rsid w:val="001F778E"/>
    <w:rsid w:val="001F785D"/>
    <w:rsid w:val="00201388"/>
    <w:rsid w:val="00201F0C"/>
    <w:rsid w:val="00203270"/>
    <w:rsid w:val="0020391F"/>
    <w:rsid w:val="0021426E"/>
    <w:rsid w:val="002210C1"/>
    <w:rsid w:val="0022601E"/>
    <w:rsid w:val="002302AC"/>
    <w:rsid w:val="002338DF"/>
    <w:rsid w:val="00235547"/>
    <w:rsid w:val="00242826"/>
    <w:rsid w:val="0024356D"/>
    <w:rsid w:val="00244280"/>
    <w:rsid w:val="0024721D"/>
    <w:rsid w:val="00250FD6"/>
    <w:rsid w:val="0025475E"/>
    <w:rsid w:val="002573FD"/>
    <w:rsid w:val="00260091"/>
    <w:rsid w:val="00260C39"/>
    <w:rsid w:val="0026690E"/>
    <w:rsid w:val="00272CD1"/>
    <w:rsid w:val="00273D6E"/>
    <w:rsid w:val="00274FED"/>
    <w:rsid w:val="00277260"/>
    <w:rsid w:val="002813EF"/>
    <w:rsid w:val="00281A2E"/>
    <w:rsid w:val="0028605C"/>
    <w:rsid w:val="00293695"/>
    <w:rsid w:val="002943CF"/>
    <w:rsid w:val="00294976"/>
    <w:rsid w:val="002A0B6C"/>
    <w:rsid w:val="002A5ECF"/>
    <w:rsid w:val="002A5FE0"/>
    <w:rsid w:val="002B1BFF"/>
    <w:rsid w:val="002B2DA1"/>
    <w:rsid w:val="002B40EE"/>
    <w:rsid w:val="002C019E"/>
    <w:rsid w:val="002C178A"/>
    <w:rsid w:val="002C2359"/>
    <w:rsid w:val="002C34F5"/>
    <w:rsid w:val="002C4057"/>
    <w:rsid w:val="002D04F9"/>
    <w:rsid w:val="002D370F"/>
    <w:rsid w:val="002D3F27"/>
    <w:rsid w:val="002E2C54"/>
    <w:rsid w:val="002E5B03"/>
    <w:rsid w:val="002E65A1"/>
    <w:rsid w:val="002E71CB"/>
    <w:rsid w:val="002F0801"/>
    <w:rsid w:val="002F5AE0"/>
    <w:rsid w:val="002F6AA0"/>
    <w:rsid w:val="00300297"/>
    <w:rsid w:val="003012BB"/>
    <w:rsid w:val="0030132C"/>
    <w:rsid w:val="00301BA8"/>
    <w:rsid w:val="003032FF"/>
    <w:rsid w:val="00307EED"/>
    <w:rsid w:val="00310E1A"/>
    <w:rsid w:val="003126E7"/>
    <w:rsid w:val="00312D11"/>
    <w:rsid w:val="00312D53"/>
    <w:rsid w:val="003136E0"/>
    <w:rsid w:val="00315966"/>
    <w:rsid w:val="00317D57"/>
    <w:rsid w:val="00320314"/>
    <w:rsid w:val="003248C6"/>
    <w:rsid w:val="00324F57"/>
    <w:rsid w:val="00326709"/>
    <w:rsid w:val="00327E75"/>
    <w:rsid w:val="00331B8D"/>
    <w:rsid w:val="003333FC"/>
    <w:rsid w:val="00334022"/>
    <w:rsid w:val="00337206"/>
    <w:rsid w:val="0034038D"/>
    <w:rsid w:val="00341912"/>
    <w:rsid w:val="00344210"/>
    <w:rsid w:val="00347C6F"/>
    <w:rsid w:val="0035132A"/>
    <w:rsid w:val="00353B78"/>
    <w:rsid w:val="003565BA"/>
    <w:rsid w:val="0036195D"/>
    <w:rsid w:val="00361D4A"/>
    <w:rsid w:val="0036695A"/>
    <w:rsid w:val="00372867"/>
    <w:rsid w:val="003817C4"/>
    <w:rsid w:val="00382D75"/>
    <w:rsid w:val="00385688"/>
    <w:rsid w:val="00390334"/>
    <w:rsid w:val="00390AE0"/>
    <w:rsid w:val="0039652B"/>
    <w:rsid w:val="003A1DF3"/>
    <w:rsid w:val="003A26CA"/>
    <w:rsid w:val="003B0B7B"/>
    <w:rsid w:val="003B1417"/>
    <w:rsid w:val="003B6623"/>
    <w:rsid w:val="003B725A"/>
    <w:rsid w:val="003C4A1C"/>
    <w:rsid w:val="003C7D24"/>
    <w:rsid w:val="003D1D4D"/>
    <w:rsid w:val="003D4FF3"/>
    <w:rsid w:val="003D7B62"/>
    <w:rsid w:val="003E15BA"/>
    <w:rsid w:val="003E7FAB"/>
    <w:rsid w:val="00401A3F"/>
    <w:rsid w:val="004052C3"/>
    <w:rsid w:val="00407E38"/>
    <w:rsid w:val="00410BE9"/>
    <w:rsid w:val="00413BED"/>
    <w:rsid w:val="00414F40"/>
    <w:rsid w:val="00415984"/>
    <w:rsid w:val="00416941"/>
    <w:rsid w:val="004204C4"/>
    <w:rsid w:val="0042116E"/>
    <w:rsid w:val="004226BB"/>
    <w:rsid w:val="0042355E"/>
    <w:rsid w:val="00424D46"/>
    <w:rsid w:val="0042531C"/>
    <w:rsid w:val="00432E0E"/>
    <w:rsid w:val="004363E5"/>
    <w:rsid w:val="00437CFD"/>
    <w:rsid w:val="0044037B"/>
    <w:rsid w:val="00445248"/>
    <w:rsid w:val="00445709"/>
    <w:rsid w:val="0044710E"/>
    <w:rsid w:val="004508E9"/>
    <w:rsid w:val="00450A2B"/>
    <w:rsid w:val="00452231"/>
    <w:rsid w:val="0045418D"/>
    <w:rsid w:val="00461B03"/>
    <w:rsid w:val="00461CE1"/>
    <w:rsid w:val="00462B37"/>
    <w:rsid w:val="00465CCD"/>
    <w:rsid w:val="0047498E"/>
    <w:rsid w:val="00475666"/>
    <w:rsid w:val="00477C77"/>
    <w:rsid w:val="004818F0"/>
    <w:rsid w:val="00482F6B"/>
    <w:rsid w:val="00492C3E"/>
    <w:rsid w:val="004A0AE0"/>
    <w:rsid w:val="004A3D34"/>
    <w:rsid w:val="004A532B"/>
    <w:rsid w:val="004A5B53"/>
    <w:rsid w:val="004B0C6F"/>
    <w:rsid w:val="004B597F"/>
    <w:rsid w:val="004B7B44"/>
    <w:rsid w:val="004B7C53"/>
    <w:rsid w:val="004B7E8F"/>
    <w:rsid w:val="004C1A66"/>
    <w:rsid w:val="004C29B8"/>
    <w:rsid w:val="004C4103"/>
    <w:rsid w:val="004C61CF"/>
    <w:rsid w:val="004C64D9"/>
    <w:rsid w:val="004D6383"/>
    <w:rsid w:val="004E0A55"/>
    <w:rsid w:val="004E1C15"/>
    <w:rsid w:val="004E2574"/>
    <w:rsid w:val="004E2CD9"/>
    <w:rsid w:val="004E4709"/>
    <w:rsid w:val="004E4B68"/>
    <w:rsid w:val="004E5373"/>
    <w:rsid w:val="004E693C"/>
    <w:rsid w:val="004F3EA4"/>
    <w:rsid w:val="005005A2"/>
    <w:rsid w:val="00504828"/>
    <w:rsid w:val="00504B73"/>
    <w:rsid w:val="00507779"/>
    <w:rsid w:val="0051790E"/>
    <w:rsid w:val="00520E16"/>
    <w:rsid w:val="00523A29"/>
    <w:rsid w:val="00532605"/>
    <w:rsid w:val="00533A0F"/>
    <w:rsid w:val="00545D73"/>
    <w:rsid w:val="0055091F"/>
    <w:rsid w:val="00556885"/>
    <w:rsid w:val="00561FA6"/>
    <w:rsid w:val="00563BA7"/>
    <w:rsid w:val="00570791"/>
    <w:rsid w:val="005726C5"/>
    <w:rsid w:val="00581132"/>
    <w:rsid w:val="00585C49"/>
    <w:rsid w:val="005A22C7"/>
    <w:rsid w:val="005A302E"/>
    <w:rsid w:val="005A5051"/>
    <w:rsid w:val="005B01B9"/>
    <w:rsid w:val="005B097B"/>
    <w:rsid w:val="005B1858"/>
    <w:rsid w:val="005B2EF5"/>
    <w:rsid w:val="005B4711"/>
    <w:rsid w:val="005C096C"/>
    <w:rsid w:val="005E0486"/>
    <w:rsid w:val="005E3E09"/>
    <w:rsid w:val="005E675C"/>
    <w:rsid w:val="005F17BE"/>
    <w:rsid w:val="005F3D50"/>
    <w:rsid w:val="006027D4"/>
    <w:rsid w:val="0060328E"/>
    <w:rsid w:val="006057CC"/>
    <w:rsid w:val="006069A1"/>
    <w:rsid w:val="006073F4"/>
    <w:rsid w:val="00610713"/>
    <w:rsid w:val="00612728"/>
    <w:rsid w:val="006221C8"/>
    <w:rsid w:val="0062336C"/>
    <w:rsid w:val="00623B0E"/>
    <w:rsid w:val="00624732"/>
    <w:rsid w:val="00627FC2"/>
    <w:rsid w:val="00633331"/>
    <w:rsid w:val="006360E1"/>
    <w:rsid w:val="00642A8A"/>
    <w:rsid w:val="006439B7"/>
    <w:rsid w:val="0064589B"/>
    <w:rsid w:val="0064598D"/>
    <w:rsid w:val="0064687F"/>
    <w:rsid w:val="00647475"/>
    <w:rsid w:val="00651241"/>
    <w:rsid w:val="00652664"/>
    <w:rsid w:val="006531DD"/>
    <w:rsid w:val="0065560F"/>
    <w:rsid w:val="00661798"/>
    <w:rsid w:val="0066337A"/>
    <w:rsid w:val="0067154A"/>
    <w:rsid w:val="00671728"/>
    <w:rsid w:val="00671AB5"/>
    <w:rsid w:val="00673C74"/>
    <w:rsid w:val="006772E5"/>
    <w:rsid w:val="00683AF1"/>
    <w:rsid w:val="006854F9"/>
    <w:rsid w:val="00687BE4"/>
    <w:rsid w:val="00690DE0"/>
    <w:rsid w:val="0069454E"/>
    <w:rsid w:val="00695938"/>
    <w:rsid w:val="006A366C"/>
    <w:rsid w:val="006A6768"/>
    <w:rsid w:val="006A7266"/>
    <w:rsid w:val="006B5B22"/>
    <w:rsid w:val="006B5E20"/>
    <w:rsid w:val="006C53A5"/>
    <w:rsid w:val="006C5989"/>
    <w:rsid w:val="006D37B9"/>
    <w:rsid w:val="006D76F9"/>
    <w:rsid w:val="006D7889"/>
    <w:rsid w:val="006E4C8C"/>
    <w:rsid w:val="006F2C32"/>
    <w:rsid w:val="006F3E40"/>
    <w:rsid w:val="006F5900"/>
    <w:rsid w:val="006F7C47"/>
    <w:rsid w:val="007005EA"/>
    <w:rsid w:val="0071318A"/>
    <w:rsid w:val="0071714F"/>
    <w:rsid w:val="00717CBA"/>
    <w:rsid w:val="00725D57"/>
    <w:rsid w:val="0072685A"/>
    <w:rsid w:val="00727185"/>
    <w:rsid w:val="007337C1"/>
    <w:rsid w:val="007364D8"/>
    <w:rsid w:val="00736FD2"/>
    <w:rsid w:val="0074105E"/>
    <w:rsid w:val="00746EBC"/>
    <w:rsid w:val="00752F1D"/>
    <w:rsid w:val="00754374"/>
    <w:rsid w:val="00761BD4"/>
    <w:rsid w:val="0077158B"/>
    <w:rsid w:val="00774CE9"/>
    <w:rsid w:val="00783A2F"/>
    <w:rsid w:val="00790D5B"/>
    <w:rsid w:val="00791B81"/>
    <w:rsid w:val="007939C7"/>
    <w:rsid w:val="00797F09"/>
    <w:rsid w:val="007A3239"/>
    <w:rsid w:val="007A51C1"/>
    <w:rsid w:val="007A7448"/>
    <w:rsid w:val="007B0C22"/>
    <w:rsid w:val="007B0E16"/>
    <w:rsid w:val="007B2B16"/>
    <w:rsid w:val="007C1E25"/>
    <w:rsid w:val="007C2908"/>
    <w:rsid w:val="007C2E99"/>
    <w:rsid w:val="007C6513"/>
    <w:rsid w:val="007C6F27"/>
    <w:rsid w:val="007D23F4"/>
    <w:rsid w:val="007E4030"/>
    <w:rsid w:val="007E61D7"/>
    <w:rsid w:val="007F5657"/>
    <w:rsid w:val="007F79A1"/>
    <w:rsid w:val="00802525"/>
    <w:rsid w:val="008057C7"/>
    <w:rsid w:val="008057D0"/>
    <w:rsid w:val="00807655"/>
    <w:rsid w:val="008118B6"/>
    <w:rsid w:val="00812BC2"/>
    <w:rsid w:val="0081303E"/>
    <w:rsid w:val="00816D98"/>
    <w:rsid w:val="00816FFB"/>
    <w:rsid w:val="00820982"/>
    <w:rsid w:val="00820C45"/>
    <w:rsid w:val="008238C4"/>
    <w:rsid w:val="00824927"/>
    <w:rsid w:val="00825601"/>
    <w:rsid w:val="0082577D"/>
    <w:rsid w:val="00832BF5"/>
    <w:rsid w:val="0083493F"/>
    <w:rsid w:val="00835338"/>
    <w:rsid w:val="00840417"/>
    <w:rsid w:val="00841B46"/>
    <w:rsid w:val="00847C87"/>
    <w:rsid w:val="008508D9"/>
    <w:rsid w:val="00853997"/>
    <w:rsid w:val="00856D57"/>
    <w:rsid w:val="0085778E"/>
    <w:rsid w:val="00862698"/>
    <w:rsid w:val="00865DA2"/>
    <w:rsid w:val="008767B4"/>
    <w:rsid w:val="008902DD"/>
    <w:rsid w:val="008939BA"/>
    <w:rsid w:val="00894E13"/>
    <w:rsid w:val="008A003E"/>
    <w:rsid w:val="008A1F64"/>
    <w:rsid w:val="008A71EE"/>
    <w:rsid w:val="008B0C91"/>
    <w:rsid w:val="008B3FCB"/>
    <w:rsid w:val="008D043C"/>
    <w:rsid w:val="008E1B1F"/>
    <w:rsid w:val="008E3D6F"/>
    <w:rsid w:val="008E4B21"/>
    <w:rsid w:val="008E5483"/>
    <w:rsid w:val="008F3068"/>
    <w:rsid w:val="008F6C01"/>
    <w:rsid w:val="0091786F"/>
    <w:rsid w:val="0092090E"/>
    <w:rsid w:val="009220A9"/>
    <w:rsid w:val="00923C56"/>
    <w:rsid w:val="00930B72"/>
    <w:rsid w:val="009330C8"/>
    <w:rsid w:val="00935446"/>
    <w:rsid w:val="009408DD"/>
    <w:rsid w:val="00940CAB"/>
    <w:rsid w:val="00945041"/>
    <w:rsid w:val="00947DC8"/>
    <w:rsid w:val="0095088C"/>
    <w:rsid w:val="0095788B"/>
    <w:rsid w:val="00957B67"/>
    <w:rsid w:val="0096110E"/>
    <w:rsid w:val="00963ED4"/>
    <w:rsid w:val="00965F68"/>
    <w:rsid w:val="00971F4B"/>
    <w:rsid w:val="0097423C"/>
    <w:rsid w:val="0097469C"/>
    <w:rsid w:val="009753D4"/>
    <w:rsid w:val="0097758C"/>
    <w:rsid w:val="00983E4F"/>
    <w:rsid w:val="00984EED"/>
    <w:rsid w:val="0098747F"/>
    <w:rsid w:val="00996E4A"/>
    <w:rsid w:val="009A5119"/>
    <w:rsid w:val="009B219A"/>
    <w:rsid w:val="009C0BC8"/>
    <w:rsid w:val="009C15DC"/>
    <w:rsid w:val="009C1635"/>
    <w:rsid w:val="009C4678"/>
    <w:rsid w:val="009C5B86"/>
    <w:rsid w:val="009C797E"/>
    <w:rsid w:val="009D26FB"/>
    <w:rsid w:val="009D363F"/>
    <w:rsid w:val="009D66D9"/>
    <w:rsid w:val="009E1619"/>
    <w:rsid w:val="009E1C68"/>
    <w:rsid w:val="009E392D"/>
    <w:rsid w:val="009E5DD5"/>
    <w:rsid w:val="009E7193"/>
    <w:rsid w:val="009E7F7E"/>
    <w:rsid w:val="009F5E65"/>
    <w:rsid w:val="009F6CD5"/>
    <w:rsid w:val="009F708B"/>
    <w:rsid w:val="00A0755A"/>
    <w:rsid w:val="00A10E02"/>
    <w:rsid w:val="00A119C2"/>
    <w:rsid w:val="00A21240"/>
    <w:rsid w:val="00A23873"/>
    <w:rsid w:val="00A23C49"/>
    <w:rsid w:val="00A275DD"/>
    <w:rsid w:val="00A278EF"/>
    <w:rsid w:val="00A3171E"/>
    <w:rsid w:val="00A317A0"/>
    <w:rsid w:val="00A3403D"/>
    <w:rsid w:val="00A361F6"/>
    <w:rsid w:val="00A36FFD"/>
    <w:rsid w:val="00A40E0F"/>
    <w:rsid w:val="00A51041"/>
    <w:rsid w:val="00A51723"/>
    <w:rsid w:val="00A554FE"/>
    <w:rsid w:val="00A564B2"/>
    <w:rsid w:val="00A64AE9"/>
    <w:rsid w:val="00A671F0"/>
    <w:rsid w:val="00A73194"/>
    <w:rsid w:val="00A74BA2"/>
    <w:rsid w:val="00A814B0"/>
    <w:rsid w:val="00A8169F"/>
    <w:rsid w:val="00A8198F"/>
    <w:rsid w:val="00A9441D"/>
    <w:rsid w:val="00A94916"/>
    <w:rsid w:val="00A962B8"/>
    <w:rsid w:val="00A974EE"/>
    <w:rsid w:val="00AA36E4"/>
    <w:rsid w:val="00AA3B15"/>
    <w:rsid w:val="00AB09D1"/>
    <w:rsid w:val="00AB58CC"/>
    <w:rsid w:val="00AC31D7"/>
    <w:rsid w:val="00AC586E"/>
    <w:rsid w:val="00AC6EB8"/>
    <w:rsid w:val="00AD131E"/>
    <w:rsid w:val="00AD16CC"/>
    <w:rsid w:val="00AD19D0"/>
    <w:rsid w:val="00AD3F4A"/>
    <w:rsid w:val="00AE35B1"/>
    <w:rsid w:val="00AE60DE"/>
    <w:rsid w:val="00AE7D9B"/>
    <w:rsid w:val="00B00E94"/>
    <w:rsid w:val="00B045CA"/>
    <w:rsid w:val="00B04BE2"/>
    <w:rsid w:val="00B1199C"/>
    <w:rsid w:val="00B1323F"/>
    <w:rsid w:val="00B13A78"/>
    <w:rsid w:val="00B1416C"/>
    <w:rsid w:val="00B246B1"/>
    <w:rsid w:val="00B27F6F"/>
    <w:rsid w:val="00B305A1"/>
    <w:rsid w:val="00B317D7"/>
    <w:rsid w:val="00B3417B"/>
    <w:rsid w:val="00B370EE"/>
    <w:rsid w:val="00B459CE"/>
    <w:rsid w:val="00B4758E"/>
    <w:rsid w:val="00B514D5"/>
    <w:rsid w:val="00B56666"/>
    <w:rsid w:val="00B616A7"/>
    <w:rsid w:val="00B635A1"/>
    <w:rsid w:val="00B677FE"/>
    <w:rsid w:val="00B702EC"/>
    <w:rsid w:val="00B704E5"/>
    <w:rsid w:val="00B72F56"/>
    <w:rsid w:val="00B747C3"/>
    <w:rsid w:val="00B74BFB"/>
    <w:rsid w:val="00B757A2"/>
    <w:rsid w:val="00B76597"/>
    <w:rsid w:val="00B80481"/>
    <w:rsid w:val="00B85555"/>
    <w:rsid w:val="00B85F88"/>
    <w:rsid w:val="00B93857"/>
    <w:rsid w:val="00B962EF"/>
    <w:rsid w:val="00BA4FDE"/>
    <w:rsid w:val="00BB7115"/>
    <w:rsid w:val="00BB7D7A"/>
    <w:rsid w:val="00BC09D6"/>
    <w:rsid w:val="00BC2FE1"/>
    <w:rsid w:val="00BD066C"/>
    <w:rsid w:val="00BD4130"/>
    <w:rsid w:val="00BE27A0"/>
    <w:rsid w:val="00BE4A32"/>
    <w:rsid w:val="00BE6068"/>
    <w:rsid w:val="00BE646B"/>
    <w:rsid w:val="00BF4003"/>
    <w:rsid w:val="00C03823"/>
    <w:rsid w:val="00C0662A"/>
    <w:rsid w:val="00C07D82"/>
    <w:rsid w:val="00C10B62"/>
    <w:rsid w:val="00C114D2"/>
    <w:rsid w:val="00C1172A"/>
    <w:rsid w:val="00C14D53"/>
    <w:rsid w:val="00C15A3B"/>
    <w:rsid w:val="00C20046"/>
    <w:rsid w:val="00C20A7F"/>
    <w:rsid w:val="00C220D5"/>
    <w:rsid w:val="00C31037"/>
    <w:rsid w:val="00C4042C"/>
    <w:rsid w:val="00C41C0B"/>
    <w:rsid w:val="00C41E01"/>
    <w:rsid w:val="00C45F02"/>
    <w:rsid w:val="00C47B0E"/>
    <w:rsid w:val="00C536F5"/>
    <w:rsid w:val="00C565A6"/>
    <w:rsid w:val="00C577E5"/>
    <w:rsid w:val="00C609AC"/>
    <w:rsid w:val="00C610D3"/>
    <w:rsid w:val="00C6160F"/>
    <w:rsid w:val="00C661A3"/>
    <w:rsid w:val="00C66BB1"/>
    <w:rsid w:val="00C77614"/>
    <w:rsid w:val="00C8066E"/>
    <w:rsid w:val="00C82FC2"/>
    <w:rsid w:val="00C85BBE"/>
    <w:rsid w:val="00C9103B"/>
    <w:rsid w:val="00C930E0"/>
    <w:rsid w:val="00C933AB"/>
    <w:rsid w:val="00C9534D"/>
    <w:rsid w:val="00C95FF3"/>
    <w:rsid w:val="00CA5353"/>
    <w:rsid w:val="00CB0036"/>
    <w:rsid w:val="00CB25E2"/>
    <w:rsid w:val="00CB67A5"/>
    <w:rsid w:val="00CB68AD"/>
    <w:rsid w:val="00CB744F"/>
    <w:rsid w:val="00CC3453"/>
    <w:rsid w:val="00CC4E5D"/>
    <w:rsid w:val="00CD1939"/>
    <w:rsid w:val="00CD79C8"/>
    <w:rsid w:val="00CE398B"/>
    <w:rsid w:val="00CF004B"/>
    <w:rsid w:val="00CF18AE"/>
    <w:rsid w:val="00CF3137"/>
    <w:rsid w:val="00CF466A"/>
    <w:rsid w:val="00CF6D2E"/>
    <w:rsid w:val="00D0405D"/>
    <w:rsid w:val="00D04182"/>
    <w:rsid w:val="00D046FC"/>
    <w:rsid w:val="00D061BD"/>
    <w:rsid w:val="00D1131A"/>
    <w:rsid w:val="00D15ABE"/>
    <w:rsid w:val="00D161D9"/>
    <w:rsid w:val="00D244E1"/>
    <w:rsid w:val="00D245BF"/>
    <w:rsid w:val="00D31834"/>
    <w:rsid w:val="00D41BAD"/>
    <w:rsid w:val="00D54495"/>
    <w:rsid w:val="00D54F20"/>
    <w:rsid w:val="00D57B14"/>
    <w:rsid w:val="00D645C1"/>
    <w:rsid w:val="00D6667D"/>
    <w:rsid w:val="00D66C79"/>
    <w:rsid w:val="00D71485"/>
    <w:rsid w:val="00D75354"/>
    <w:rsid w:val="00D77549"/>
    <w:rsid w:val="00D77DC7"/>
    <w:rsid w:val="00D83DB4"/>
    <w:rsid w:val="00D86191"/>
    <w:rsid w:val="00D870DE"/>
    <w:rsid w:val="00D910DA"/>
    <w:rsid w:val="00D9785A"/>
    <w:rsid w:val="00DA0D7B"/>
    <w:rsid w:val="00DB0361"/>
    <w:rsid w:val="00DB16AF"/>
    <w:rsid w:val="00DB6AE7"/>
    <w:rsid w:val="00DB7403"/>
    <w:rsid w:val="00DC263D"/>
    <w:rsid w:val="00DC64E0"/>
    <w:rsid w:val="00DD050F"/>
    <w:rsid w:val="00DD395F"/>
    <w:rsid w:val="00DD3D48"/>
    <w:rsid w:val="00DD4772"/>
    <w:rsid w:val="00DD68AD"/>
    <w:rsid w:val="00DE0746"/>
    <w:rsid w:val="00DE117E"/>
    <w:rsid w:val="00DE625D"/>
    <w:rsid w:val="00DE627A"/>
    <w:rsid w:val="00DF0E78"/>
    <w:rsid w:val="00DF2DE5"/>
    <w:rsid w:val="00DF37B7"/>
    <w:rsid w:val="00DF6AC8"/>
    <w:rsid w:val="00DF75C6"/>
    <w:rsid w:val="00E06379"/>
    <w:rsid w:val="00E11F8B"/>
    <w:rsid w:val="00E20B6E"/>
    <w:rsid w:val="00E32648"/>
    <w:rsid w:val="00E34074"/>
    <w:rsid w:val="00E409F1"/>
    <w:rsid w:val="00E43B7D"/>
    <w:rsid w:val="00E44462"/>
    <w:rsid w:val="00E45872"/>
    <w:rsid w:val="00E47ED9"/>
    <w:rsid w:val="00E51941"/>
    <w:rsid w:val="00E618F4"/>
    <w:rsid w:val="00E62061"/>
    <w:rsid w:val="00E63769"/>
    <w:rsid w:val="00E73C7A"/>
    <w:rsid w:val="00E753AF"/>
    <w:rsid w:val="00E77F64"/>
    <w:rsid w:val="00E81786"/>
    <w:rsid w:val="00E81EBA"/>
    <w:rsid w:val="00E82627"/>
    <w:rsid w:val="00E8273E"/>
    <w:rsid w:val="00E91234"/>
    <w:rsid w:val="00E94347"/>
    <w:rsid w:val="00E94A22"/>
    <w:rsid w:val="00E94F29"/>
    <w:rsid w:val="00EA0791"/>
    <w:rsid w:val="00EA2BD1"/>
    <w:rsid w:val="00EB3EFD"/>
    <w:rsid w:val="00EB72AF"/>
    <w:rsid w:val="00EC37BC"/>
    <w:rsid w:val="00EC4882"/>
    <w:rsid w:val="00EC5BD6"/>
    <w:rsid w:val="00EC5EFB"/>
    <w:rsid w:val="00EC5FC8"/>
    <w:rsid w:val="00EC7E84"/>
    <w:rsid w:val="00ED39F4"/>
    <w:rsid w:val="00ED4C2D"/>
    <w:rsid w:val="00ED4CE5"/>
    <w:rsid w:val="00ED52BA"/>
    <w:rsid w:val="00EE08EC"/>
    <w:rsid w:val="00EE507C"/>
    <w:rsid w:val="00EF381E"/>
    <w:rsid w:val="00EF6F46"/>
    <w:rsid w:val="00F020FC"/>
    <w:rsid w:val="00F025A9"/>
    <w:rsid w:val="00F07880"/>
    <w:rsid w:val="00F14A58"/>
    <w:rsid w:val="00F206C5"/>
    <w:rsid w:val="00F2099C"/>
    <w:rsid w:val="00F21C84"/>
    <w:rsid w:val="00F26258"/>
    <w:rsid w:val="00F317C4"/>
    <w:rsid w:val="00F328E5"/>
    <w:rsid w:val="00F32C17"/>
    <w:rsid w:val="00F352DF"/>
    <w:rsid w:val="00F4017A"/>
    <w:rsid w:val="00F50F3E"/>
    <w:rsid w:val="00F51489"/>
    <w:rsid w:val="00F521F8"/>
    <w:rsid w:val="00F53766"/>
    <w:rsid w:val="00F65C24"/>
    <w:rsid w:val="00F6611D"/>
    <w:rsid w:val="00F66724"/>
    <w:rsid w:val="00F86854"/>
    <w:rsid w:val="00F8720B"/>
    <w:rsid w:val="00F87A09"/>
    <w:rsid w:val="00FA17C5"/>
    <w:rsid w:val="00FA1AB6"/>
    <w:rsid w:val="00FA4D03"/>
    <w:rsid w:val="00FA5452"/>
    <w:rsid w:val="00FA58B7"/>
    <w:rsid w:val="00FA6B93"/>
    <w:rsid w:val="00FB7150"/>
    <w:rsid w:val="00FC08AB"/>
    <w:rsid w:val="00FC0A9F"/>
    <w:rsid w:val="00FC1C2D"/>
    <w:rsid w:val="00FC1F4D"/>
    <w:rsid w:val="00FC1F67"/>
    <w:rsid w:val="00FC5466"/>
    <w:rsid w:val="00FC7091"/>
    <w:rsid w:val="00FD6685"/>
    <w:rsid w:val="00FD7BA5"/>
    <w:rsid w:val="00FE236E"/>
    <w:rsid w:val="00FE23F5"/>
    <w:rsid w:val="00FE7EE8"/>
    <w:rsid w:val="00FF0719"/>
    <w:rsid w:val="00FF6345"/>
    <w:rsid w:val="00FF764B"/>
    <w:rsid w:val="02B161C4"/>
    <w:rsid w:val="042D5454"/>
    <w:rsid w:val="0569257D"/>
    <w:rsid w:val="05A5520F"/>
    <w:rsid w:val="05A71785"/>
    <w:rsid w:val="081F2A45"/>
    <w:rsid w:val="09775375"/>
    <w:rsid w:val="0B4D4BF0"/>
    <w:rsid w:val="0C48104A"/>
    <w:rsid w:val="0EFF039C"/>
    <w:rsid w:val="0FAC50BA"/>
    <w:rsid w:val="13570D76"/>
    <w:rsid w:val="13BC3028"/>
    <w:rsid w:val="14D367D4"/>
    <w:rsid w:val="152260CC"/>
    <w:rsid w:val="15517FBE"/>
    <w:rsid w:val="16E94338"/>
    <w:rsid w:val="16F011AA"/>
    <w:rsid w:val="193F44FE"/>
    <w:rsid w:val="1A3419BA"/>
    <w:rsid w:val="1B577E56"/>
    <w:rsid w:val="1B7D0EAA"/>
    <w:rsid w:val="1C4B29CC"/>
    <w:rsid w:val="1C7B491A"/>
    <w:rsid w:val="1CFE1910"/>
    <w:rsid w:val="1D1660CB"/>
    <w:rsid w:val="1D221F0A"/>
    <w:rsid w:val="1D2829D7"/>
    <w:rsid w:val="1D2D5E55"/>
    <w:rsid w:val="1F7E7894"/>
    <w:rsid w:val="1FFF604E"/>
    <w:rsid w:val="20923AE8"/>
    <w:rsid w:val="23907D96"/>
    <w:rsid w:val="23956930"/>
    <w:rsid w:val="242E662A"/>
    <w:rsid w:val="260E28D9"/>
    <w:rsid w:val="261963A3"/>
    <w:rsid w:val="274009A6"/>
    <w:rsid w:val="28737C69"/>
    <w:rsid w:val="2C0034B9"/>
    <w:rsid w:val="2C061D7D"/>
    <w:rsid w:val="2D1761DB"/>
    <w:rsid w:val="2E971538"/>
    <w:rsid w:val="2ECA4851"/>
    <w:rsid w:val="2F3D206D"/>
    <w:rsid w:val="2F806F59"/>
    <w:rsid w:val="2F8429A6"/>
    <w:rsid w:val="302A3595"/>
    <w:rsid w:val="304C0576"/>
    <w:rsid w:val="306D7BA9"/>
    <w:rsid w:val="32E7708D"/>
    <w:rsid w:val="33D12E00"/>
    <w:rsid w:val="357266BD"/>
    <w:rsid w:val="36525267"/>
    <w:rsid w:val="38AB2B59"/>
    <w:rsid w:val="397E7501"/>
    <w:rsid w:val="3B445066"/>
    <w:rsid w:val="3D2D03CE"/>
    <w:rsid w:val="3D606F4A"/>
    <w:rsid w:val="3F1B1110"/>
    <w:rsid w:val="40533C8F"/>
    <w:rsid w:val="41E42844"/>
    <w:rsid w:val="43CF1BDC"/>
    <w:rsid w:val="44012D6E"/>
    <w:rsid w:val="44B64BEE"/>
    <w:rsid w:val="44C562FA"/>
    <w:rsid w:val="44F01C25"/>
    <w:rsid w:val="45924942"/>
    <w:rsid w:val="45AF258B"/>
    <w:rsid w:val="460E73AA"/>
    <w:rsid w:val="46122F18"/>
    <w:rsid w:val="46C26D51"/>
    <w:rsid w:val="46C36A8D"/>
    <w:rsid w:val="472D4DC3"/>
    <w:rsid w:val="47AA598E"/>
    <w:rsid w:val="485B01C0"/>
    <w:rsid w:val="4A7667A9"/>
    <w:rsid w:val="4AAA1430"/>
    <w:rsid w:val="4EB214AD"/>
    <w:rsid w:val="4F5E40C9"/>
    <w:rsid w:val="51BA6256"/>
    <w:rsid w:val="51D37576"/>
    <w:rsid w:val="51D43D78"/>
    <w:rsid w:val="53D360B5"/>
    <w:rsid w:val="55A21DD2"/>
    <w:rsid w:val="56510047"/>
    <w:rsid w:val="57815180"/>
    <w:rsid w:val="57CC46F9"/>
    <w:rsid w:val="582B46F4"/>
    <w:rsid w:val="5C375B66"/>
    <w:rsid w:val="5E0045E2"/>
    <w:rsid w:val="5F7C1CA3"/>
    <w:rsid w:val="607B0147"/>
    <w:rsid w:val="60E634C1"/>
    <w:rsid w:val="632A3E09"/>
    <w:rsid w:val="656F485C"/>
    <w:rsid w:val="67830D1F"/>
    <w:rsid w:val="685306E1"/>
    <w:rsid w:val="68EA5B5E"/>
    <w:rsid w:val="6CB3782A"/>
    <w:rsid w:val="6EE774F7"/>
    <w:rsid w:val="6FBF2DE3"/>
    <w:rsid w:val="702E08D2"/>
    <w:rsid w:val="703450BF"/>
    <w:rsid w:val="711F003B"/>
    <w:rsid w:val="725C78AE"/>
    <w:rsid w:val="73E44146"/>
    <w:rsid w:val="7415143E"/>
    <w:rsid w:val="78260428"/>
    <w:rsid w:val="79134E9F"/>
    <w:rsid w:val="7D353BC9"/>
    <w:rsid w:val="7D8C0EE4"/>
    <w:rsid w:val="7DDB7234"/>
    <w:rsid w:val="7E30122F"/>
    <w:rsid w:val="7ED73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1"/>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Indent"/>
    <w:basedOn w:val="1"/>
    <w:unhideWhenUsed/>
    <w:qFormat/>
    <w:uiPriority w:val="99"/>
    <w:pPr>
      <w:tabs>
        <w:tab w:val="left" w:pos="490"/>
      </w:tabs>
      <w:spacing w:line="360" w:lineRule="auto"/>
      <w:ind w:left="178" w:leftChars="85" w:firstLine="540" w:firstLineChars="225"/>
    </w:pPr>
    <w:rPr>
      <w:rFonts w:hAnsi="宋体"/>
      <w:sz w:val="24"/>
    </w:rPr>
  </w:style>
  <w:style w:type="paragraph" w:styleId="6">
    <w:name w:val="Plain Text"/>
    <w:basedOn w:val="1"/>
    <w:link w:val="16"/>
    <w:qFormat/>
    <w:uiPriority w:val="0"/>
    <w:rPr>
      <w:rFonts w:ascii="宋体" w:hAnsi="Courier New" w:cs="Courier New" w:eastAsiaTheme="minorEastAsia"/>
      <w:szCs w:val="21"/>
    </w:rPr>
  </w:style>
  <w:style w:type="paragraph" w:styleId="7">
    <w:name w:val="Balloon Text"/>
    <w:basedOn w:val="1"/>
    <w:link w:val="18"/>
    <w:semiHidden/>
    <w:unhideWhenUsed/>
    <w:qFormat/>
    <w:uiPriority w:val="99"/>
    <w:rPr>
      <w:sz w:val="18"/>
      <w:szCs w:val="18"/>
    </w:rPr>
  </w:style>
  <w:style w:type="paragraph" w:styleId="8">
    <w:name w:val="footer"/>
    <w:basedOn w:val="1"/>
    <w:link w:val="15"/>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Normal (Web)"/>
    <w:basedOn w:val="1"/>
    <w:unhideWhenUsed/>
    <w:qFormat/>
    <w:uiPriority w:val="99"/>
    <w:pPr>
      <w:widowControl/>
      <w:spacing w:before="100" w:beforeAutospacing="1" w:after="100" w:afterAutospacing="1"/>
      <w:jc w:val="left"/>
    </w:pPr>
    <w:rPr>
      <w:kern w:val="0"/>
      <w:sz w:val="24"/>
    </w:rPr>
  </w:style>
  <w:style w:type="character" w:styleId="13">
    <w:name w:val="page number"/>
    <w:basedOn w:val="12"/>
    <w:qFormat/>
    <w:uiPriority w:val="0"/>
  </w:style>
  <w:style w:type="character" w:customStyle="1" w:styleId="14">
    <w:name w:val="页眉 Char"/>
    <w:basedOn w:val="12"/>
    <w:link w:val="9"/>
    <w:qFormat/>
    <w:uiPriority w:val="99"/>
    <w:rPr>
      <w:sz w:val="18"/>
      <w:szCs w:val="18"/>
    </w:rPr>
  </w:style>
  <w:style w:type="character" w:customStyle="1" w:styleId="15">
    <w:name w:val="页脚 Char"/>
    <w:basedOn w:val="12"/>
    <w:link w:val="8"/>
    <w:qFormat/>
    <w:uiPriority w:val="0"/>
    <w:rPr>
      <w:sz w:val="18"/>
      <w:szCs w:val="18"/>
    </w:rPr>
  </w:style>
  <w:style w:type="character" w:customStyle="1" w:styleId="16">
    <w:name w:val="纯文本 Char"/>
    <w:link w:val="6"/>
    <w:qFormat/>
    <w:uiPriority w:val="0"/>
    <w:rPr>
      <w:rFonts w:ascii="宋体" w:hAnsi="Courier New" w:cs="Courier New"/>
      <w:szCs w:val="21"/>
    </w:rPr>
  </w:style>
  <w:style w:type="character" w:customStyle="1" w:styleId="17">
    <w:name w:val="纯文本 Char1"/>
    <w:basedOn w:val="12"/>
    <w:semiHidden/>
    <w:qFormat/>
    <w:uiPriority w:val="99"/>
    <w:rPr>
      <w:rFonts w:ascii="宋体" w:hAnsi="Courier New" w:eastAsia="宋体" w:cs="Courier New"/>
      <w:szCs w:val="21"/>
    </w:rPr>
  </w:style>
  <w:style w:type="character" w:customStyle="1" w:styleId="18">
    <w:name w:val="批注框文本 Char"/>
    <w:basedOn w:val="12"/>
    <w:link w:val="7"/>
    <w:semiHidden/>
    <w:qFormat/>
    <w:uiPriority w:val="99"/>
    <w:rPr>
      <w:rFonts w:ascii="Times New Roman" w:hAnsi="Times New Roman" w:eastAsia="宋体" w:cs="Times New Roman"/>
      <w:sz w:val="18"/>
      <w:szCs w:val="18"/>
    </w:rPr>
  </w:style>
  <w:style w:type="paragraph" w:styleId="19">
    <w:name w:val="List Paragraph"/>
    <w:basedOn w:val="1"/>
    <w:qFormat/>
    <w:uiPriority w:val="34"/>
    <w:pPr>
      <w:ind w:firstLine="420"/>
    </w:pPr>
  </w:style>
  <w:style w:type="character" w:customStyle="1" w:styleId="20">
    <w:name w:val="标题 2 Char"/>
    <w:basedOn w:val="12"/>
    <w:link w:val="3"/>
    <w:qFormat/>
    <w:uiPriority w:val="9"/>
    <w:rPr>
      <w:rFonts w:asciiTheme="majorHAnsi" w:hAnsiTheme="majorHAnsi" w:eastAsiaTheme="majorEastAsia" w:cstheme="majorBidi"/>
      <w:b/>
      <w:bCs/>
      <w:sz w:val="32"/>
      <w:szCs w:val="32"/>
    </w:rPr>
  </w:style>
  <w:style w:type="character" w:customStyle="1" w:styleId="21">
    <w:name w:val="标题 3 Char"/>
    <w:basedOn w:val="12"/>
    <w:link w:val="4"/>
    <w:qFormat/>
    <w:uiPriority w:val="9"/>
    <w:rPr>
      <w:rFonts w:ascii="Times New Roman" w:hAnsi="Times New Roman" w:eastAsia="宋体" w:cs="Times New Roman"/>
      <w:b/>
      <w:bCs/>
      <w:sz w:val="32"/>
      <w:szCs w:val="32"/>
    </w:rPr>
  </w:style>
  <w:style w:type="paragraph" w:customStyle="1" w:styleId="22">
    <w:name w:val="标题3"/>
    <w:basedOn w:val="1"/>
    <w:link w:val="23"/>
    <w:qFormat/>
    <w:uiPriority w:val="0"/>
    <w:pPr>
      <w:tabs>
        <w:tab w:val="left" w:pos="540"/>
      </w:tabs>
      <w:spacing w:line="540" w:lineRule="exact"/>
      <w:ind w:firstLine="640"/>
      <w:jc w:val="left"/>
    </w:pPr>
  </w:style>
  <w:style w:type="character" w:customStyle="1" w:styleId="23">
    <w:name w:val="标题3 Char"/>
    <w:basedOn w:val="12"/>
    <w:link w:val="22"/>
    <w:qFormat/>
    <w:uiPriority w:val="0"/>
    <w:rPr>
      <w:rFonts w:ascii="Times New Roman" w:hAnsi="Times New Roman" w:eastAsia="宋体" w:cs="Times New Roman"/>
      <w:szCs w:val="24"/>
    </w:rPr>
  </w:style>
  <w:style w:type="paragraph" w:customStyle="1" w:styleId="24">
    <w:name w:val="第X章"/>
    <w:basedOn w:val="2"/>
    <w:link w:val="25"/>
    <w:qFormat/>
    <w:uiPriority w:val="0"/>
    <w:pPr>
      <w:tabs>
        <w:tab w:val="left" w:pos="540"/>
      </w:tabs>
      <w:adjustRightInd w:val="0"/>
      <w:snapToGrid w:val="0"/>
      <w:spacing w:before="240" w:beforeLines="100" w:after="240" w:afterLines="100"/>
      <w:jc w:val="center"/>
    </w:pPr>
    <w:rPr>
      <w:rFonts w:ascii="仿宋_GB2312" w:hAnsi="宋体" w:eastAsia="仿宋_GB2312"/>
      <w:sz w:val="32"/>
      <w:szCs w:val="32"/>
    </w:rPr>
  </w:style>
  <w:style w:type="character" w:customStyle="1" w:styleId="25">
    <w:name w:val="第X章 字符"/>
    <w:basedOn w:val="26"/>
    <w:link w:val="24"/>
    <w:qFormat/>
    <w:uiPriority w:val="0"/>
    <w:rPr>
      <w:rFonts w:ascii="仿宋_GB2312" w:hAnsi="宋体" w:eastAsia="仿宋_GB2312" w:cs="Times New Roman"/>
      <w:kern w:val="44"/>
      <w:sz w:val="32"/>
      <w:szCs w:val="32"/>
    </w:rPr>
  </w:style>
  <w:style w:type="character" w:customStyle="1" w:styleId="26">
    <w:name w:val="标题 1 Char"/>
    <w:basedOn w:val="12"/>
    <w:link w:val="2"/>
    <w:qFormat/>
    <w:uiPriority w:val="9"/>
    <w:rPr>
      <w:rFonts w:ascii="Times New Roman" w:hAnsi="Times New Roman" w:eastAsia="宋体" w:cs="Times New Roman"/>
      <w:b/>
      <w:bCs/>
      <w:kern w:val="44"/>
      <w:sz w:val="44"/>
      <w:szCs w:val="44"/>
    </w:rPr>
  </w:style>
  <w:style w:type="paragraph" w:customStyle="1" w:styleId="27">
    <w:name w:val="第X条"/>
    <w:basedOn w:val="3"/>
    <w:link w:val="28"/>
    <w:qFormat/>
    <w:uiPriority w:val="0"/>
    <w:pPr>
      <w:widowControl/>
      <w:tabs>
        <w:tab w:val="left" w:pos="540"/>
      </w:tabs>
      <w:adjustRightInd w:val="0"/>
      <w:snapToGrid w:val="0"/>
      <w:spacing w:before="0" w:after="0" w:line="560" w:lineRule="exact"/>
      <w:ind w:firstLine="200" w:firstLineChars="200"/>
    </w:pPr>
    <w:rPr>
      <w:rFonts w:ascii="仿宋_GB2312" w:hAnsi="宋体" w:eastAsia="仿宋_GB2312"/>
      <w:b w:val="0"/>
      <w:kern w:val="0"/>
    </w:rPr>
  </w:style>
  <w:style w:type="character" w:customStyle="1" w:styleId="28">
    <w:name w:val="第X条 字符"/>
    <w:basedOn w:val="26"/>
    <w:link w:val="27"/>
    <w:qFormat/>
    <w:uiPriority w:val="0"/>
    <w:rPr>
      <w:rFonts w:ascii="仿宋_GB2312" w:hAnsi="宋体" w:eastAsia="仿宋_GB2312" w:cstheme="majorBidi"/>
      <w:b w:val="0"/>
      <w:kern w:val="0"/>
      <w:sz w:val="32"/>
      <w:szCs w:val="32"/>
    </w:rPr>
  </w:style>
  <w:style w:type="paragraph" w:customStyle="1" w:styleId="29">
    <w:name w:val="第四级"/>
    <w:next w:val="1"/>
    <w:qFormat/>
    <w:uiPriority w:val="0"/>
    <w:pPr>
      <w:widowControl w:val="0"/>
      <w:numPr>
        <w:ilvl w:val="1"/>
        <w:numId w:val="1"/>
      </w:numPr>
      <w:spacing w:line="560" w:lineRule="exact"/>
    </w:pPr>
    <w:rPr>
      <w:rFonts w:ascii="仿宋" w:hAnsi="仿宋" w:eastAsia="仿宋" w:cs="Times New Roman"/>
      <w:kern w:val="0"/>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6A295E-B2AE-420A-BEF1-F3E38B762299}">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813</Words>
  <Characters>4636</Characters>
  <Lines>38</Lines>
  <Paragraphs>10</Paragraphs>
  <TotalTime>0</TotalTime>
  <ScaleCrop>false</ScaleCrop>
  <LinksUpToDate>false</LinksUpToDate>
  <CharactersWithSpaces>5439</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2014-01-06T09:08:00Z</dcterms:created>
  <dc:creator>Tasi Yali</dc:creator>
  <cp:lastModifiedBy>Lenovo</cp:lastModifiedBy>
  <cp:lastPrinted>2018-11-19T01:22:00Z</cp:lastPrinted>
  <dcterms:modified xsi:type="dcterms:W3CDTF">2019-09-09T10:06:07Z</dcterms:modified>
  <cp:revision>197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