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ascii="宋体" w:hAnsi="宋体"/>
          <w:sz w:val="28"/>
          <w:szCs w:val="28"/>
        </w:rPr>
      </w:pPr>
      <w:bookmarkStart w:id="0" w:name="OLE_LINK2"/>
      <w:bookmarkStart w:id="1" w:name="OLE_LINK1"/>
      <w:bookmarkStart w:id="2" w:name="_Toc534478618"/>
      <w:r>
        <w:rPr>
          <w:rFonts w:hint="eastAsia" w:ascii="宋体" w:hAnsi="宋体"/>
          <w:b/>
          <w:sz w:val="36"/>
          <w:szCs w:val="36"/>
        </w:rPr>
        <w:t>公共管理学院非全日制专业硕士培养</w:t>
      </w:r>
      <w:bookmarkEnd w:id="0"/>
      <w:bookmarkEnd w:id="1"/>
      <w:r>
        <w:rPr>
          <w:rFonts w:hint="eastAsia" w:ascii="宋体" w:hAnsi="宋体"/>
          <w:b/>
          <w:sz w:val="36"/>
          <w:szCs w:val="36"/>
        </w:rPr>
        <w:t>经费管理办法</w:t>
      </w:r>
      <w:bookmarkEnd w:id="2"/>
    </w:p>
    <w:p>
      <w:pPr>
        <w:ind w:firstLine="420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为提高我院非全日制专业学位培养质量，提高非全日制专业学位硕士生导师培养学员的积极性，按照按劳分配的原则制定本办法。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指导教师指导费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平时指导费。导师每指导一名非全日制专业学位硕士生，每年指导费为1000元，指导年限为学生缴费年限。超过缴费年限未毕业者，导师继续指导但不发放费用。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论文指导费。导师每指导一名非全日制专业学位硕士生完成毕业论文，发放指导费1500元，完成论文按通过论文答辩计算。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授课教师课酬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为提高非全日制专业硕士授课质量，体现按劳分配的原则，我院非全日制专业学位授课课酬确定为每学时180元，合班上课（60人为一个自然班）的课酬确定为每学时200元（半天按4学时计算）。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三、开题、预答辩、论文送审、论文答辩费用问题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非全日制专业学位硕士生首次开题和预答辩费用由学院统一负担。但由于某些学生的时间精力有限和重视程度不高，相关培养环节没法保质保量完成，需要进行二次开题、预答辩等环节。相关环节的重复进行不仅给学生带来放松心理，而且增加了学院的办学成本，也损害了全院老师的利益。因此，凡需进行二次开题、预答辩的学生，相关费用由导师按实际支出缴纳50％，学院负责50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2.非全日制专业学位硕士生的论文送审和答辩费用由学院负责。凡需进行二次送审和答辩费用的学生，相关费用由导师按实际支出缴纳50％，学院负责50％。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论文外审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根据学校相关规定、参照兄弟院校标准，我校专业学位外审专家费为每篇250元。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五、相关工作补贴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硕士研究生复试监考。监考每科目补贴200元。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硕士研究生复试命题、改卷。每门课命题、改卷分别补贴300元。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硕士研究生复试参加的导师、专家每人半天补贴550元，秘书每人半天350元。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相关工作后勤工作（学生），视情况每人每天补贴50元。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负责学员校外实习、交流等活动的带队等工作，每次补贴300元。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校内老师为专业学位硕士开设专题讲座或培训，每次补贴600元。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开学典礼等见面会、交流会的导师和秘书等工作人员，每人补贴200元。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18" w:firstLineChars="328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非全日制专业学位硕士生毕业论文开题。参加导师、专家每人半天550元（专家为校外人员的，另加100元交通补贴），秘书每人半天350元，其他工作人员每人半天150元。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10.非全日制专业学位硕士生毕业论文预答辩。参加预答辩的导师、专家每人半天550元，答辩秘书每人半天350元，其他工作人员每人半天150元。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11.非全日制专业学位硕士生毕业论文答辩。参加毕业论文答辩的导师、专家按每答辩一位学员250元计算，答辩秘书按每答辩一位学员200元，其他工作人员每人半天150元。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</w:t>
      </w:r>
      <w:r>
        <w:rPr>
          <w:rFonts w:hint="eastAsia" w:ascii="宋体" w:hAnsi="宋体" w:cs="仿宋_GB2312"/>
          <w:color w:val="333333"/>
          <w:sz w:val="28"/>
          <w:szCs w:val="28"/>
          <w:shd w:val="clear" w:color="auto" w:fill="FFFFFF"/>
        </w:rPr>
        <w:t>本办法自通过公布之日起开始执行。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/>
          <w:sz w:val="30"/>
          <w:szCs w:val="30"/>
        </w:rPr>
        <w:t>华南农业大学</w:t>
      </w:r>
      <w:r>
        <w:rPr>
          <w:rFonts w:hint="eastAsia" w:ascii="宋体" w:hAnsi="宋体"/>
          <w:sz w:val="28"/>
          <w:szCs w:val="28"/>
        </w:rPr>
        <w:t>公共管理学院</w:t>
      </w: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2018年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bookmarkStart w:id="3" w:name="_GoBack"/>
      <w:bookmarkEnd w:id="3"/>
      <w:r>
        <w:rPr>
          <w:rFonts w:hint="eastAsia" w:ascii="宋体" w:hAnsi="宋体"/>
          <w:sz w:val="28"/>
          <w:szCs w:val="28"/>
          <w:lang w:val="en-US" w:eastAsia="zh-CN"/>
        </w:rPr>
        <w:t>2日</w:t>
      </w:r>
    </w:p>
    <w:p>
      <w:pPr>
        <w:spacing w:line="276" w:lineRule="auto"/>
        <w:ind w:right="560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</w:t>
      </w:r>
    </w:p>
    <w:sectPr>
      <w:footerReference r:id="rId3" w:type="default"/>
      <w:pgSz w:w="11906" w:h="16838"/>
      <w:pgMar w:top="1860" w:right="1800" w:bottom="21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96B13"/>
    <w:multiLevelType w:val="singleLevel"/>
    <w:tmpl w:val="53696B13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3696B6C"/>
    <w:multiLevelType w:val="singleLevel"/>
    <w:tmpl w:val="53696B6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3696BC7"/>
    <w:multiLevelType w:val="singleLevel"/>
    <w:tmpl w:val="53696BC7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37BF9EE"/>
    <w:multiLevelType w:val="singleLevel"/>
    <w:tmpl w:val="537BF9EE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1"/>
    <w:rsid w:val="000051AB"/>
    <w:rsid w:val="000220A6"/>
    <w:rsid w:val="00097DDE"/>
    <w:rsid w:val="000A6B97"/>
    <w:rsid w:val="0013420D"/>
    <w:rsid w:val="00150967"/>
    <w:rsid w:val="00185B8C"/>
    <w:rsid w:val="00246A3F"/>
    <w:rsid w:val="00346289"/>
    <w:rsid w:val="00355096"/>
    <w:rsid w:val="003F61D7"/>
    <w:rsid w:val="00414236"/>
    <w:rsid w:val="004203FA"/>
    <w:rsid w:val="004458A4"/>
    <w:rsid w:val="00475C8D"/>
    <w:rsid w:val="0047728D"/>
    <w:rsid w:val="00481AEA"/>
    <w:rsid w:val="004A5BDB"/>
    <w:rsid w:val="004B2CB1"/>
    <w:rsid w:val="004D1700"/>
    <w:rsid w:val="004D2DED"/>
    <w:rsid w:val="004F445E"/>
    <w:rsid w:val="005C4129"/>
    <w:rsid w:val="005E79EF"/>
    <w:rsid w:val="00654A48"/>
    <w:rsid w:val="006661BF"/>
    <w:rsid w:val="00682BB5"/>
    <w:rsid w:val="00695632"/>
    <w:rsid w:val="006B78F1"/>
    <w:rsid w:val="007A3BDB"/>
    <w:rsid w:val="007B4AE4"/>
    <w:rsid w:val="007E1720"/>
    <w:rsid w:val="00865771"/>
    <w:rsid w:val="008B7FB7"/>
    <w:rsid w:val="008E4B24"/>
    <w:rsid w:val="009039DC"/>
    <w:rsid w:val="009618F3"/>
    <w:rsid w:val="009A1D82"/>
    <w:rsid w:val="009B0D8C"/>
    <w:rsid w:val="009E30EF"/>
    <w:rsid w:val="009F5D8F"/>
    <w:rsid w:val="00B078C4"/>
    <w:rsid w:val="00B54C24"/>
    <w:rsid w:val="00BF63F6"/>
    <w:rsid w:val="00C31375"/>
    <w:rsid w:val="00C944E4"/>
    <w:rsid w:val="00CC449B"/>
    <w:rsid w:val="00D04CC8"/>
    <w:rsid w:val="00D2798E"/>
    <w:rsid w:val="00D27F48"/>
    <w:rsid w:val="00D76D78"/>
    <w:rsid w:val="00DD21F0"/>
    <w:rsid w:val="00E725CC"/>
    <w:rsid w:val="00EC70CE"/>
    <w:rsid w:val="00F807E3"/>
    <w:rsid w:val="00F927F8"/>
    <w:rsid w:val="00FB4DE9"/>
    <w:rsid w:val="00FF5BA3"/>
    <w:rsid w:val="0D6E1AE6"/>
    <w:rsid w:val="136A40BA"/>
    <w:rsid w:val="23892A72"/>
    <w:rsid w:val="23AF6D5D"/>
    <w:rsid w:val="2D0A1416"/>
    <w:rsid w:val="5349566F"/>
    <w:rsid w:val="63B45734"/>
    <w:rsid w:val="648C63FF"/>
    <w:rsid w:val="71552BD8"/>
    <w:rsid w:val="78EB4D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5C804-B99B-4591-8DC8-E0AEBB5B53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175</Words>
  <Characters>1003</Characters>
  <Lines>8</Lines>
  <Paragraphs>2</Paragraphs>
  <TotalTime>10</TotalTime>
  <ScaleCrop>false</ScaleCrop>
  <LinksUpToDate>false</LinksUpToDate>
  <CharactersWithSpaces>1176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2018-05-22T00:05:00Z</dcterms:created>
  <dc:creator>wzp</dc:creator>
  <cp:lastModifiedBy>杨敏</cp:lastModifiedBy>
  <cp:lastPrinted>2017-02-28T02:37:00Z</cp:lastPrinted>
  <dcterms:modified xsi:type="dcterms:W3CDTF">2018-11-05T08:40:24Z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