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  <w:r>
        <w:rPr>
          <w:rFonts w:hint="eastAsia"/>
        </w:rPr>
        <w:t xml:space="preserve">附表1：                                </w:t>
      </w:r>
      <w:r>
        <w:rPr>
          <w:rFonts w:hint="eastAsia"/>
          <w:b/>
          <w:bCs/>
          <w:sz w:val="32"/>
          <w:szCs w:val="32"/>
        </w:rPr>
        <w:t>华南农业大学高水平运动队学生运动员资格审核表</w:t>
      </w:r>
    </w:p>
    <w:p>
      <w:r>
        <w:rPr>
          <w:rFonts w:hint="eastAsia"/>
        </w:rPr>
        <w:t xml:space="preserve">  </w:t>
      </w:r>
      <w:r>
        <w:rPr>
          <w:rFonts w:hint="eastAsia"/>
          <w:b/>
          <w:bCs/>
        </w:rPr>
        <w:t>运动项目：    羽毛球     年级：</w:t>
      </w:r>
      <w:r>
        <w:rPr>
          <w:rFonts w:hint="eastAsia"/>
          <w:b/>
          <w:bCs/>
          <w:color w:val="FF0000"/>
        </w:rPr>
        <w:t xml:space="preserve">    2013   </w:t>
      </w:r>
      <w:r>
        <w:rPr>
          <w:rFonts w:hint="eastAsia"/>
          <w:b/>
          <w:bCs/>
        </w:rPr>
        <w:t xml:space="preserve">    入学时间：2013.9    学习起止时间：2013.9 ---2017.7</w:t>
      </w:r>
      <w:r>
        <w:rPr>
          <w:rFonts w:hint="eastAsia"/>
        </w:rPr>
        <w:t xml:space="preserve">                               </w:t>
      </w:r>
    </w:p>
    <w:tbl>
      <w:tblPr>
        <w:tblStyle w:val="5"/>
        <w:tblW w:w="14509" w:type="dxa"/>
        <w:tblInd w:w="-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691"/>
        <w:gridCol w:w="1569"/>
        <w:gridCol w:w="1701"/>
        <w:gridCol w:w="1843"/>
        <w:gridCol w:w="851"/>
        <w:gridCol w:w="5670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学院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  <w:r>
              <w:rPr>
                <w:rFonts w:hint="eastAsia"/>
                <w:b/>
                <w:bCs/>
                <w:lang w:eastAsia="zh-CN"/>
              </w:rPr>
              <w:t>班级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运动员等级    </w:t>
            </w:r>
          </w:p>
        </w:tc>
        <w:tc>
          <w:tcPr>
            <w:tcW w:w="56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入学前参加各类比赛最好成绩（时间、名称、名次）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 xml:space="preserve">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黄健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201330842311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13企业行政3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一级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2011年全国青年羽毛球赛甲组双打第5名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赵样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201330842227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13企业行政3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一级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2011年四川省运动会甲组团体第1名，双打第1名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贾洪宽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201330842712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13企业行政4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2011年全国中学生羽毛球锦标赛甲组团体第5名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申哲沄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201330842519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  <w:lang w:eastAsia="zh-CN"/>
              </w:rPr>
              <w:t>人文与法学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13法学4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2011年全国中学生羽毛球锦标赛甲组团体第5名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谭家彬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201330842818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13土管房地产4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2011年全国中学生羽毛球锦标赛男子甲子双打第3名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陈志康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201330842605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13企业行政4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2012年广西省全区运动会羽毛球赛甲组团体第2名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胡诗欣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201330841306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13行政管理2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一级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2012年全国羽毛球冠军赛混合团体第5名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龚彦桦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201330841207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13行政管理2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健将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2012年全国青年羽毛球锦标赛甲组女子团体第1名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朱婉婷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201330843030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13企业行政4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2012年广东省传统项目羽毛球赛女子单打第1名双打第1名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余池粼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201330840528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13土管1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一级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2010年贵州省青少年运动会羽毛球赛女子双打第1名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许竟文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201330841922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  <w:lang w:eastAsia="zh-CN"/>
              </w:rPr>
              <w:t>人文与法学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13法学8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670" w:type="dxa"/>
            <w:vAlign w:val="top"/>
          </w:tcPr>
          <w:p>
            <w:r>
              <w:rPr>
                <w:rFonts w:hint="eastAsia"/>
              </w:rPr>
              <w:t>2011年全国中学生羽毛球锦标赛甲组女子团体第1名</w:t>
            </w:r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7199" w:type="dxa"/>
            <w:gridSpan w:val="5"/>
            <w:vAlign w:val="top"/>
          </w:tcPr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体育部意见：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 xml:space="preserve">                                   （盖章）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签名：</w:t>
            </w:r>
            <w:r>
              <w:rPr>
                <w:b/>
                <w:bCs/>
              </w:rPr>
              <w:t xml:space="preserve">                </w:t>
            </w:r>
            <w:r>
              <w:rPr>
                <w:rFonts w:hint="eastAsia"/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 xml:space="preserve">日 </w:t>
            </w:r>
          </w:p>
        </w:tc>
        <w:tc>
          <w:tcPr>
            <w:tcW w:w="7310" w:type="dxa"/>
            <w:gridSpan w:val="3"/>
            <w:vAlign w:val="top"/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招生就业处意见：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 xml:space="preserve"> 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（盖章）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签名：</w:t>
            </w:r>
            <w:r>
              <w:rPr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</w:tbl>
    <w:p>
      <w:r>
        <w:rPr>
          <w:rFonts w:hint="eastAsia"/>
          <w:b/>
          <w:bCs/>
        </w:rPr>
        <w:t xml:space="preserve">   注：此表一式两份，一份交教务处备案，一份体育部存档。</w:t>
      </w:r>
    </w:p>
    <w:p/>
    <w:p/>
    <w:p>
      <w:pPr>
        <w:rPr>
          <w:b/>
          <w:bCs/>
          <w:sz w:val="32"/>
          <w:szCs w:val="32"/>
        </w:rPr>
      </w:pPr>
      <w:r>
        <w:rPr>
          <w:rFonts w:hint="eastAsia"/>
        </w:rPr>
        <w:t xml:space="preserve">附表1：                                </w:t>
      </w:r>
      <w:r>
        <w:rPr>
          <w:rFonts w:hint="eastAsia"/>
          <w:b/>
          <w:bCs/>
          <w:sz w:val="32"/>
          <w:szCs w:val="32"/>
        </w:rPr>
        <w:t>华南农业大学高水平运动队学生运动员资格审核表</w:t>
      </w:r>
    </w:p>
    <w:p>
      <w:r>
        <w:rPr>
          <w:rFonts w:hint="eastAsia"/>
        </w:rPr>
        <w:t xml:space="preserve">  </w:t>
      </w:r>
      <w:r>
        <w:rPr>
          <w:rFonts w:hint="eastAsia"/>
          <w:b/>
          <w:bCs/>
        </w:rPr>
        <w:t xml:space="preserve">运动项目：    羽毛球     年级： </w:t>
      </w:r>
      <w:r>
        <w:rPr>
          <w:rFonts w:hint="eastAsia"/>
          <w:b/>
          <w:bCs/>
          <w:color w:val="FF0000"/>
        </w:rPr>
        <w:t xml:space="preserve">   201</w:t>
      </w:r>
      <w:r>
        <w:rPr>
          <w:rFonts w:hint="eastAsia"/>
          <w:b/>
          <w:bCs/>
          <w:color w:val="FF0000"/>
          <w:lang w:val="en-US" w:eastAsia="zh-CN"/>
        </w:rPr>
        <w:t>4</w:t>
      </w:r>
      <w:r>
        <w:rPr>
          <w:rFonts w:hint="eastAsia"/>
          <w:b/>
          <w:bCs/>
          <w:color w:val="FF0000"/>
        </w:rPr>
        <w:t xml:space="preserve">     </w:t>
      </w:r>
      <w:r>
        <w:rPr>
          <w:rFonts w:hint="eastAsia"/>
          <w:b/>
          <w:bCs/>
        </w:rPr>
        <w:t xml:space="preserve">  入学时间：201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</w:rPr>
        <w:t>.9    学习起止时间：201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</w:rPr>
        <w:t>.9 ---201</w:t>
      </w:r>
      <w:r>
        <w:rPr>
          <w:rFonts w:hint="eastAsia"/>
          <w:b/>
          <w:bCs/>
          <w:lang w:val="en-US" w:eastAsia="zh-CN"/>
        </w:rPr>
        <w:t>8、</w:t>
      </w:r>
      <w:r>
        <w:rPr>
          <w:rFonts w:hint="eastAsia"/>
          <w:b/>
          <w:bCs/>
        </w:rPr>
        <w:t>7</w:t>
      </w:r>
      <w:r>
        <w:rPr>
          <w:rFonts w:hint="eastAsia"/>
        </w:rPr>
        <w:t xml:space="preserve">                               </w:t>
      </w:r>
    </w:p>
    <w:tbl>
      <w:tblPr>
        <w:tblStyle w:val="5"/>
        <w:tblW w:w="14509" w:type="dxa"/>
        <w:tblInd w:w="-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691"/>
        <w:gridCol w:w="1569"/>
        <w:gridCol w:w="1701"/>
        <w:gridCol w:w="1843"/>
        <w:gridCol w:w="851"/>
        <w:gridCol w:w="5670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学院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  <w:r>
              <w:rPr>
                <w:rFonts w:hint="eastAsia"/>
                <w:b/>
                <w:bCs/>
                <w:lang w:eastAsia="zh-CN"/>
              </w:rPr>
              <w:t>班级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运动员等级    </w:t>
            </w:r>
          </w:p>
        </w:tc>
        <w:tc>
          <w:tcPr>
            <w:tcW w:w="56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入学前参加各类比赛最好成绩（时间、名称、名次）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 xml:space="preserve">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  <w:lang w:val="en-US" w:eastAsia="zh-CN"/>
              </w:rPr>
              <w:t>王京晶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  <w:lang w:val="en-US" w:eastAsia="zh-CN"/>
              </w:rPr>
              <w:t xml:space="preserve">女 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  <w:lang w:val="en-US" w:eastAsia="zh-CN"/>
              </w:rPr>
              <w:t>201430841419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  <w:lang w:val="en-US" w:eastAsia="zh-CN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14企业行政3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  <w:lang w:val="en-US" w:eastAsia="zh-CN"/>
              </w:rPr>
              <w:t>一级</w:t>
            </w:r>
          </w:p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7199" w:type="dxa"/>
            <w:gridSpan w:val="5"/>
            <w:vAlign w:val="top"/>
          </w:tcPr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体育部意见：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 xml:space="preserve">                                   （盖章）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签名：</w:t>
            </w:r>
            <w:r>
              <w:rPr>
                <w:b/>
                <w:bCs/>
              </w:rPr>
              <w:t xml:space="preserve">                </w:t>
            </w:r>
            <w:r>
              <w:rPr>
                <w:rFonts w:hint="eastAsia"/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 xml:space="preserve">日 </w:t>
            </w:r>
          </w:p>
        </w:tc>
        <w:tc>
          <w:tcPr>
            <w:tcW w:w="7310" w:type="dxa"/>
            <w:gridSpan w:val="3"/>
            <w:vAlign w:val="top"/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招生就业处意见：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 xml:space="preserve"> 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（盖章）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签名：</w:t>
            </w:r>
            <w:r>
              <w:rPr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</w:tbl>
    <w:p>
      <w:r>
        <w:rPr>
          <w:rFonts w:hint="eastAsia"/>
          <w:b/>
          <w:bCs/>
        </w:rPr>
        <w:t xml:space="preserve">   注：此表一式两份，一份交教务处备案，一份体育部存档。</w:t>
      </w:r>
    </w:p>
    <w:p/>
    <w:p/>
    <w:p>
      <w:pPr>
        <w:rPr>
          <w:b/>
          <w:bCs/>
          <w:sz w:val="32"/>
          <w:szCs w:val="32"/>
        </w:rPr>
      </w:pPr>
      <w:r>
        <w:rPr>
          <w:rFonts w:hint="eastAsia"/>
        </w:rPr>
        <w:t xml:space="preserve">附表1：                                </w:t>
      </w:r>
      <w:r>
        <w:rPr>
          <w:rFonts w:hint="eastAsia"/>
          <w:b/>
          <w:bCs/>
          <w:sz w:val="32"/>
          <w:szCs w:val="32"/>
        </w:rPr>
        <w:t>华南农业大学高水平运动队学生运动员资格审核表</w:t>
      </w:r>
    </w:p>
    <w:p>
      <w:r>
        <w:rPr>
          <w:rFonts w:hint="eastAsia"/>
        </w:rPr>
        <w:t xml:space="preserve">  </w:t>
      </w:r>
      <w:r>
        <w:rPr>
          <w:rFonts w:hint="eastAsia"/>
          <w:b/>
          <w:bCs/>
        </w:rPr>
        <w:t xml:space="preserve">运动项目：    羽毛球     年级： </w:t>
      </w:r>
      <w:r>
        <w:rPr>
          <w:rFonts w:hint="eastAsia"/>
          <w:b/>
          <w:bCs/>
          <w:color w:val="FF0000"/>
        </w:rPr>
        <w:t xml:space="preserve">  201</w:t>
      </w:r>
      <w:r>
        <w:rPr>
          <w:rFonts w:hint="eastAsia"/>
          <w:b/>
          <w:bCs/>
          <w:color w:val="FF0000"/>
          <w:lang w:val="en-US" w:eastAsia="zh-CN"/>
        </w:rPr>
        <w:t>5</w:t>
      </w:r>
      <w:r>
        <w:rPr>
          <w:rFonts w:hint="eastAsia"/>
          <w:b/>
          <w:bCs/>
          <w:color w:val="FF0000"/>
        </w:rPr>
        <w:t xml:space="preserve">      </w:t>
      </w:r>
      <w:r>
        <w:rPr>
          <w:rFonts w:hint="eastAsia"/>
          <w:b/>
          <w:bCs/>
        </w:rPr>
        <w:t>入学时间：201</w:t>
      </w:r>
      <w:r>
        <w:rPr>
          <w:rFonts w:hint="eastAsia"/>
          <w:b/>
          <w:bCs/>
          <w:lang w:val="en-US" w:eastAsia="zh-CN"/>
        </w:rPr>
        <w:t>5</w:t>
      </w:r>
      <w:r>
        <w:rPr>
          <w:rFonts w:hint="eastAsia"/>
          <w:b/>
          <w:bCs/>
        </w:rPr>
        <w:t>.9    学习起止时间：201</w:t>
      </w:r>
      <w:r>
        <w:rPr>
          <w:rFonts w:hint="eastAsia"/>
          <w:b/>
          <w:bCs/>
          <w:lang w:val="en-US" w:eastAsia="zh-CN"/>
        </w:rPr>
        <w:t>5</w:t>
      </w:r>
      <w:r>
        <w:rPr>
          <w:rFonts w:hint="eastAsia"/>
          <w:b/>
          <w:bCs/>
        </w:rPr>
        <w:t>.9 ---201</w:t>
      </w:r>
      <w:r>
        <w:rPr>
          <w:rFonts w:hint="eastAsia"/>
          <w:b/>
          <w:bCs/>
          <w:lang w:val="en-US" w:eastAsia="zh-CN"/>
        </w:rPr>
        <w:t>9</w:t>
      </w:r>
      <w:r>
        <w:rPr>
          <w:rFonts w:hint="eastAsia"/>
          <w:b/>
          <w:bCs/>
        </w:rPr>
        <w:t>.7</w:t>
      </w:r>
      <w:r>
        <w:rPr>
          <w:rFonts w:hint="eastAsia"/>
        </w:rPr>
        <w:t xml:space="preserve">                               </w:t>
      </w:r>
    </w:p>
    <w:tbl>
      <w:tblPr>
        <w:tblStyle w:val="5"/>
        <w:tblW w:w="14509" w:type="dxa"/>
        <w:tblInd w:w="-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691"/>
        <w:gridCol w:w="1561"/>
        <w:gridCol w:w="1620"/>
        <w:gridCol w:w="1813"/>
        <w:gridCol w:w="970"/>
        <w:gridCol w:w="5528"/>
        <w:gridCol w:w="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学院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运动员等级    </w:t>
            </w:r>
          </w:p>
        </w:tc>
        <w:tc>
          <w:tcPr>
            <w:tcW w:w="552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入学前参加各类比赛最好成绩（时间、名称、名次）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 xml:space="preserve">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黎森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1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201526141212</w:t>
            </w:r>
          </w:p>
        </w:tc>
        <w:tc>
          <w:tcPr>
            <w:tcW w:w="1620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13" w:type="dxa"/>
            <w:vAlign w:val="top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公管类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班</w:t>
            </w:r>
          </w:p>
        </w:tc>
        <w:tc>
          <w:tcPr>
            <w:tcW w:w="970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雷雅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1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201526140807</w:t>
            </w:r>
          </w:p>
        </w:tc>
        <w:tc>
          <w:tcPr>
            <w:tcW w:w="1620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13" w:type="dxa"/>
            <w:vAlign w:val="top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公管类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班</w:t>
            </w:r>
          </w:p>
        </w:tc>
        <w:tc>
          <w:tcPr>
            <w:tcW w:w="970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李秋靓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1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201526140714</w:t>
            </w:r>
          </w:p>
        </w:tc>
        <w:tc>
          <w:tcPr>
            <w:tcW w:w="1620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13" w:type="dxa"/>
            <w:vAlign w:val="top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公管类</w:t>
            </w:r>
            <w:r>
              <w:rPr>
                <w:rFonts w:hint="eastAsia"/>
                <w:lang w:val="en-US" w:eastAsia="zh-CN"/>
              </w:rPr>
              <w:t>7班</w:t>
            </w:r>
          </w:p>
        </w:tc>
        <w:tc>
          <w:tcPr>
            <w:tcW w:w="970" w:type="dxa"/>
            <w:vAlign w:val="top"/>
          </w:tcPr>
          <w:p>
            <w:r>
              <w:rPr>
                <w:rFonts w:hint="eastAsia"/>
              </w:rPr>
              <w:t>一级</w:t>
            </w:r>
          </w:p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陈雪怡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女</w:t>
            </w:r>
          </w:p>
        </w:tc>
        <w:tc>
          <w:tcPr>
            <w:tcW w:w="1561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201526140303</w:t>
            </w:r>
          </w:p>
        </w:tc>
        <w:tc>
          <w:tcPr>
            <w:tcW w:w="1620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13" w:type="dxa"/>
            <w:vAlign w:val="top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公管类3班</w:t>
            </w:r>
          </w:p>
        </w:tc>
        <w:tc>
          <w:tcPr>
            <w:tcW w:w="970" w:type="dxa"/>
            <w:vAlign w:val="top"/>
          </w:tcPr>
          <w:p>
            <w:r>
              <w:rPr>
                <w:rFonts w:hint="eastAsia"/>
              </w:rPr>
              <w:t>一级</w:t>
            </w:r>
          </w:p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5" w:hRule="atLeast"/>
        </w:trPr>
        <w:tc>
          <w:tcPr>
            <w:tcW w:w="139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叶子童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1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201526140428</w:t>
            </w:r>
          </w:p>
        </w:tc>
        <w:tc>
          <w:tcPr>
            <w:tcW w:w="1620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13" w:type="dxa"/>
            <w:vAlign w:val="top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公管类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班</w:t>
            </w:r>
          </w:p>
        </w:tc>
        <w:tc>
          <w:tcPr>
            <w:tcW w:w="970" w:type="dxa"/>
            <w:vAlign w:val="top"/>
          </w:tcPr>
          <w:p>
            <w:r>
              <w:rPr>
                <w:rFonts w:hint="eastAsia"/>
              </w:rPr>
              <w:t>一级</w:t>
            </w:r>
          </w:p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寿剑飞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1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201526140520</w:t>
            </w:r>
          </w:p>
        </w:tc>
        <w:tc>
          <w:tcPr>
            <w:tcW w:w="1620" w:type="dxa"/>
            <w:vAlign w:val="top"/>
          </w:tcPr>
          <w:p>
            <w:r>
              <w:rPr>
                <w:rFonts w:hint="eastAsia"/>
              </w:rPr>
              <w:t>公共管理学院</w:t>
            </w:r>
          </w:p>
        </w:tc>
        <w:tc>
          <w:tcPr>
            <w:tcW w:w="1813" w:type="dxa"/>
            <w:vAlign w:val="top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公管类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班</w:t>
            </w:r>
          </w:p>
        </w:tc>
        <w:tc>
          <w:tcPr>
            <w:tcW w:w="970" w:type="dxa"/>
            <w:vAlign w:val="top"/>
          </w:tcPr>
          <w:p>
            <w:r>
              <w:rPr>
                <w:rFonts w:hint="eastAsia"/>
              </w:rPr>
              <w:t>二级</w:t>
            </w:r>
          </w:p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1" w:type="dxa"/>
            <w:vAlign w:val="top"/>
          </w:tcPr>
          <w:p/>
        </w:tc>
        <w:tc>
          <w:tcPr>
            <w:tcW w:w="1620" w:type="dxa"/>
            <w:vAlign w:val="top"/>
          </w:tcPr>
          <w:p/>
        </w:tc>
        <w:tc>
          <w:tcPr>
            <w:tcW w:w="1813" w:type="dxa"/>
            <w:vAlign w:val="top"/>
          </w:tcPr>
          <w:p/>
        </w:tc>
        <w:tc>
          <w:tcPr>
            <w:tcW w:w="970" w:type="dxa"/>
            <w:vAlign w:val="top"/>
          </w:tcPr>
          <w:p/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1" w:type="dxa"/>
            <w:vAlign w:val="top"/>
          </w:tcPr>
          <w:p/>
        </w:tc>
        <w:tc>
          <w:tcPr>
            <w:tcW w:w="1620" w:type="dxa"/>
            <w:vAlign w:val="top"/>
          </w:tcPr>
          <w:p/>
        </w:tc>
        <w:tc>
          <w:tcPr>
            <w:tcW w:w="1813" w:type="dxa"/>
            <w:vAlign w:val="top"/>
          </w:tcPr>
          <w:p/>
        </w:tc>
        <w:tc>
          <w:tcPr>
            <w:tcW w:w="970" w:type="dxa"/>
            <w:vAlign w:val="top"/>
          </w:tcPr>
          <w:p/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1" w:type="dxa"/>
            <w:vAlign w:val="top"/>
          </w:tcPr>
          <w:p/>
        </w:tc>
        <w:tc>
          <w:tcPr>
            <w:tcW w:w="1620" w:type="dxa"/>
            <w:vAlign w:val="top"/>
          </w:tcPr>
          <w:p/>
        </w:tc>
        <w:tc>
          <w:tcPr>
            <w:tcW w:w="1813" w:type="dxa"/>
            <w:vAlign w:val="top"/>
          </w:tcPr>
          <w:p/>
        </w:tc>
        <w:tc>
          <w:tcPr>
            <w:tcW w:w="970" w:type="dxa"/>
            <w:vAlign w:val="top"/>
          </w:tcPr>
          <w:p/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1" w:type="dxa"/>
            <w:vAlign w:val="top"/>
          </w:tcPr>
          <w:p/>
        </w:tc>
        <w:tc>
          <w:tcPr>
            <w:tcW w:w="1620" w:type="dxa"/>
            <w:vAlign w:val="top"/>
          </w:tcPr>
          <w:p/>
        </w:tc>
        <w:tc>
          <w:tcPr>
            <w:tcW w:w="1813" w:type="dxa"/>
            <w:vAlign w:val="top"/>
          </w:tcPr>
          <w:p/>
        </w:tc>
        <w:tc>
          <w:tcPr>
            <w:tcW w:w="970" w:type="dxa"/>
            <w:vAlign w:val="top"/>
          </w:tcPr>
          <w:p/>
        </w:tc>
        <w:tc>
          <w:tcPr>
            <w:tcW w:w="5528" w:type="dxa"/>
            <w:vAlign w:val="top"/>
          </w:tcPr>
          <w:p/>
        </w:tc>
        <w:tc>
          <w:tcPr>
            <w:tcW w:w="931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695" w:hRule="atLeast"/>
        </w:trPr>
        <w:tc>
          <w:tcPr>
            <w:tcW w:w="7080" w:type="dxa"/>
            <w:gridSpan w:val="5"/>
            <w:vAlign w:val="top"/>
          </w:tcPr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体育部意见：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 xml:space="preserve">                                   （盖章）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签名：</w:t>
            </w:r>
            <w:r>
              <w:rPr>
                <w:b/>
                <w:bCs/>
              </w:rPr>
              <w:t xml:space="preserve">                </w:t>
            </w:r>
            <w:r>
              <w:rPr>
                <w:rFonts w:hint="eastAsia"/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 xml:space="preserve">日 </w:t>
            </w:r>
          </w:p>
        </w:tc>
        <w:tc>
          <w:tcPr>
            <w:tcW w:w="7429" w:type="dxa"/>
            <w:gridSpan w:val="3"/>
            <w:vAlign w:val="top"/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招生就业处意见：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 xml:space="preserve"> 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（盖章）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签名：</w:t>
            </w:r>
            <w:r>
              <w:rPr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</w:tbl>
    <w:p>
      <w:r>
        <w:rPr>
          <w:rFonts w:hint="eastAsia"/>
          <w:b/>
          <w:bCs/>
        </w:rPr>
        <w:t xml:space="preserve">   注：此表一式两份，一份交教务处备案，一份体育部存档。</w:t>
      </w:r>
    </w:p>
    <w:p/>
    <w:p/>
    <w:p/>
    <w:p/>
    <w:p>
      <w:pPr>
        <w:rPr>
          <w:b/>
          <w:bCs/>
          <w:sz w:val="32"/>
          <w:szCs w:val="32"/>
        </w:rPr>
      </w:pPr>
      <w:r>
        <w:rPr>
          <w:rFonts w:hint="eastAsia"/>
        </w:rPr>
        <w:t xml:space="preserve">附表1：                                </w:t>
      </w:r>
      <w:r>
        <w:rPr>
          <w:rFonts w:hint="eastAsia"/>
          <w:b/>
          <w:bCs/>
          <w:sz w:val="32"/>
          <w:szCs w:val="32"/>
        </w:rPr>
        <w:t>华南农业大学高水平运动队学生运动员资格审核表</w:t>
      </w:r>
    </w:p>
    <w:p>
      <w:r>
        <w:rPr>
          <w:rFonts w:hint="eastAsia"/>
        </w:rPr>
        <w:t xml:space="preserve">  </w:t>
      </w:r>
      <w:r>
        <w:rPr>
          <w:rFonts w:hint="eastAsia"/>
          <w:b/>
          <w:bCs/>
        </w:rPr>
        <w:t xml:space="preserve">运动项目：    羽毛球     年级： </w:t>
      </w:r>
      <w:r>
        <w:rPr>
          <w:rFonts w:hint="eastAsia"/>
          <w:b/>
          <w:bCs/>
          <w:color w:val="FF0000"/>
        </w:rPr>
        <w:t xml:space="preserve">   201</w:t>
      </w:r>
      <w:r>
        <w:rPr>
          <w:rFonts w:hint="eastAsia"/>
          <w:b/>
          <w:bCs/>
          <w:color w:val="FF0000"/>
          <w:lang w:val="en-US" w:eastAsia="zh-CN"/>
        </w:rPr>
        <w:t>6</w:t>
      </w:r>
      <w:r>
        <w:rPr>
          <w:rFonts w:hint="eastAsia"/>
          <w:b/>
          <w:bCs/>
          <w:color w:val="FF0000"/>
        </w:rPr>
        <w:t xml:space="preserve">     </w:t>
      </w:r>
      <w:r>
        <w:rPr>
          <w:rFonts w:hint="eastAsia"/>
          <w:b/>
          <w:bCs/>
        </w:rPr>
        <w:t xml:space="preserve">  入学时间：201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</w:rPr>
        <w:t>.9    学习起止时间：201</w:t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</w:rPr>
        <w:t>.9 ---20</w:t>
      </w:r>
      <w:r>
        <w:rPr>
          <w:rFonts w:hint="eastAsia"/>
          <w:b/>
          <w:bCs/>
          <w:lang w:val="en-US" w:eastAsia="zh-CN"/>
        </w:rPr>
        <w:t>20、</w:t>
      </w:r>
      <w:r>
        <w:rPr>
          <w:rFonts w:hint="eastAsia"/>
          <w:b/>
          <w:bCs/>
        </w:rPr>
        <w:t>7</w:t>
      </w:r>
      <w:r>
        <w:rPr>
          <w:rFonts w:hint="eastAsia"/>
        </w:rPr>
        <w:t xml:space="preserve">                               </w:t>
      </w:r>
    </w:p>
    <w:tbl>
      <w:tblPr>
        <w:tblStyle w:val="5"/>
        <w:tblW w:w="14509" w:type="dxa"/>
        <w:tblInd w:w="-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691"/>
        <w:gridCol w:w="1569"/>
        <w:gridCol w:w="1701"/>
        <w:gridCol w:w="1843"/>
        <w:gridCol w:w="851"/>
        <w:gridCol w:w="5670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56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学院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  <w:r>
              <w:rPr>
                <w:rFonts w:hint="eastAsia"/>
                <w:b/>
                <w:bCs/>
                <w:lang w:eastAsia="zh-CN"/>
              </w:rPr>
              <w:t>班级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运动员等级    </w:t>
            </w:r>
          </w:p>
        </w:tc>
        <w:tc>
          <w:tcPr>
            <w:tcW w:w="56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入学前参加各类比赛最好成绩（时间、名称、名次）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 xml:space="preserve">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方树涵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  <w:lang w:val="en-US" w:eastAsia="zh-CN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201626140107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  <w:lang w:val="en-US" w:eastAsia="zh-CN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16公管类1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  <w:lang w:val="en-US" w:eastAsia="zh-CN"/>
              </w:rPr>
              <w:t>二级</w:t>
            </w:r>
          </w:p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李天宇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201626141613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  <w:lang w:val="en-US" w:eastAsia="zh-CN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16公管类16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  <w:lang w:val="en-US" w:eastAsia="zh-CN"/>
              </w:rPr>
              <w:t>二级</w:t>
            </w:r>
          </w:p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>
            <w:r>
              <w:rPr>
                <w:rFonts w:hint="eastAsia"/>
              </w:rPr>
              <w:t>林凯峰</w:t>
            </w:r>
          </w:p>
        </w:tc>
        <w:tc>
          <w:tcPr>
            <w:tcW w:w="691" w:type="dxa"/>
            <w:vAlign w:val="top"/>
          </w:tcPr>
          <w:p>
            <w:r>
              <w:rPr>
                <w:rFonts w:hint="eastAsia"/>
              </w:rPr>
              <w:t>男</w:t>
            </w:r>
          </w:p>
        </w:tc>
        <w:tc>
          <w:tcPr>
            <w:tcW w:w="1569" w:type="dxa"/>
            <w:vAlign w:val="top"/>
          </w:tcPr>
          <w:p>
            <w:r>
              <w:rPr>
                <w:rFonts w:hint="eastAsia"/>
              </w:rPr>
              <w:t>201626140720</w:t>
            </w: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  <w:lang w:val="en-US" w:eastAsia="zh-CN"/>
              </w:rPr>
              <w:t>公共管理学院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16公管类7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  <w:lang w:val="en-US" w:eastAsia="zh-CN"/>
              </w:rPr>
              <w:t>二级</w:t>
            </w:r>
          </w:p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>
            <w:bookmarkStart w:id="0" w:name="_GoBack"/>
            <w:bookmarkEnd w:id="0"/>
          </w:p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5" w:hRule="atLeast"/>
        </w:trPr>
        <w:tc>
          <w:tcPr>
            <w:tcW w:w="1395" w:type="dxa"/>
            <w:vAlign w:val="top"/>
          </w:tcPr>
          <w:p/>
        </w:tc>
        <w:tc>
          <w:tcPr>
            <w:tcW w:w="691" w:type="dxa"/>
            <w:vAlign w:val="top"/>
          </w:tcPr>
          <w:p/>
        </w:tc>
        <w:tc>
          <w:tcPr>
            <w:tcW w:w="1569" w:type="dxa"/>
            <w:vAlign w:val="top"/>
          </w:tcPr>
          <w:p/>
        </w:tc>
        <w:tc>
          <w:tcPr>
            <w:tcW w:w="1701" w:type="dxa"/>
            <w:vAlign w:val="top"/>
          </w:tcPr>
          <w:p/>
        </w:tc>
        <w:tc>
          <w:tcPr>
            <w:tcW w:w="1843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5670" w:type="dxa"/>
            <w:vAlign w:val="top"/>
          </w:tcPr>
          <w:p/>
        </w:tc>
        <w:tc>
          <w:tcPr>
            <w:tcW w:w="789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7199" w:type="dxa"/>
            <w:gridSpan w:val="5"/>
            <w:vAlign w:val="top"/>
          </w:tcPr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体育部意见：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rFonts w:hint="eastAsia"/>
                <w:b/>
                <w:bCs/>
              </w:rPr>
              <w:t xml:space="preserve">                                   （盖章）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签名：</w:t>
            </w:r>
            <w:r>
              <w:rPr>
                <w:b/>
                <w:bCs/>
              </w:rPr>
              <w:t xml:space="preserve">                </w:t>
            </w:r>
            <w:r>
              <w:rPr>
                <w:rFonts w:hint="eastAsia"/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 xml:space="preserve">日 </w:t>
            </w:r>
          </w:p>
        </w:tc>
        <w:tc>
          <w:tcPr>
            <w:tcW w:w="7310" w:type="dxa"/>
            <w:gridSpan w:val="3"/>
            <w:vAlign w:val="top"/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招生就业处意见：</w:t>
            </w:r>
          </w:p>
          <w:p>
            <w:pPr>
              <w:ind w:firstLine="632" w:firstLineChars="3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 xml:space="preserve">       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（盖章）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签名：</w:t>
            </w:r>
            <w:r>
              <w:rPr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</w:tbl>
    <w:p>
      <w:r>
        <w:rPr>
          <w:rFonts w:hint="eastAsia"/>
          <w:b/>
          <w:bCs/>
        </w:rPr>
        <w:t xml:space="preserve">   注：此表一式两份，一份交教务处备案，一份体育部存档。</w:t>
      </w:r>
    </w:p>
    <w:p/>
    <w:p/>
    <w:sectPr>
      <w:headerReference r:id="rId3" w:type="default"/>
      <w:headerReference r:id="rId4" w:type="even"/>
      <w:pgSz w:w="16838" w:h="11906" w:orient="landscape"/>
      <w:pgMar w:top="1463" w:right="1440" w:bottom="1463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A7A0A40"/>
    <w:rsid w:val="426100C1"/>
    <w:rsid w:val="62C55518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1138</Characters>
  <Lines>9</Lines>
  <Paragraphs>2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2013-12-16T15:45:00Z</dcterms:created>
  <dc:creator>zhq</dc:creator>
  <cp:lastModifiedBy>谢江</cp:lastModifiedBy>
  <cp:lastPrinted>2013-12-26T08:31:00Z</cp:lastPrinted>
  <dcterms:modified xsi:type="dcterms:W3CDTF">2016-12-02T01:34:42Z</dcterms:modified>
  <dc:title>附表1：                                华南农业大学高水平运动队学生运动员资格审核表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